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Заключение</w:t>
      </w:r>
    </w:p>
    <w:p>
      <w:pPr>
        <w:pStyle w:val="Normal"/>
        <w:rPr>
          <w:rFonts w:ascii="PT Astra Serif" w:hAnsi="PT Astra Serif"/>
          <w:b/>
          <w:b/>
          <w:szCs w:val="28"/>
        </w:rPr>
      </w:pPr>
      <w:r>
        <w:rPr>
          <w:rFonts w:eastAsia="Times New Roman" w:cs="PT Astra Serif" w:ascii="PT Astra Serif" w:hAnsi="PT Astra Serif"/>
          <w:b/>
          <w:sz w:val="28"/>
          <w:szCs w:val="28"/>
        </w:rPr>
        <w:t>об экспертизе П</w:t>
      </w:r>
      <w:r>
        <w:rPr>
          <w:rFonts w:eastAsia="Times New Roman" w:cs="PT Astra Serif"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остановление администрации муниципального образования «Тереньгульский район»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«</w:t>
      </w:r>
      <w:r>
        <w:rPr>
          <w:rStyle w:val="Applestylespan"/>
          <w:rFonts w:eastAsia="Times New Roman" w:cs="Liberation Serif;Times New Roman" w:ascii="Liberation Serif;Times New Roman" w:hAnsi="Liberation Serif;Times New Roman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Times New Roman" w:cs="PT Astra Serif" w:ascii="PT Astra Serif" w:hAnsi="PT Astra Serif"/>
          <w:b/>
          <w:bCs w:val="false"/>
          <w:color w:val="000000"/>
          <w:sz w:val="28"/>
          <w:szCs w:val="28"/>
          <w:shd w:fill="FFFFFF" w:val="clear"/>
        </w:rPr>
        <w:t>«Выдача разрешения на право организации розничного рынка на территории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hd w:val="clear" w:fill="FFFFFF"/>
        <w:ind w:left="0" w:right="0" w:firstLine="709"/>
        <w:jc w:val="both"/>
        <w:textAlignment w:val="baseline"/>
        <w:rPr/>
      </w:pPr>
      <w:r>
        <w:rPr>
          <w:rFonts w:cs="Times New Roman" w:ascii="PT Astra Serif" w:hAnsi="PT Astra Serif"/>
          <w:szCs w:val="28"/>
        </w:rPr>
        <w:t xml:space="preserve">Управление экономического и стратегического развития  администрации муниципального образования «Тереньгульский район», в соответствии с Законом Ульяновской области от 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затрагивающих вопросы  осуществления предпринимательской и инвестиционной деятельности, порядке проведения экспертизы нормативных правовых актов Ульяновской области и муниципальных нормативных правовых актов, затрагивающих  вопросы осуществления предпринимательской и инвестиционной деятельности, и порядке проведения оценки фактического воздействия  нормативных правовых актов Ульяновской области, затрагивающих осуществление предпринимательской и инвестиционной деятельности»,  постановлением Администрации муниципального образования «Тереньгульский район» от 02 октября 2015 года №588 «Об утверждении Положения о проведении оценки регулирующего воздействия проектов нормативных правовых актов муниципального образования «Тереньгульский  район», рассмотрело Постановления администрации МО «Тереньгульский район» </w:t>
      </w:r>
      <w:bookmarkStart w:id="0" w:name="__DdeLink__83_1982495355"/>
      <w:r>
        <w:rPr>
          <w:rFonts w:cs="Times New Roman" w:ascii="PT Astra Serif" w:hAnsi="PT Astra Serif"/>
          <w:b w:val="false"/>
          <w:bCs w:val="false"/>
          <w:szCs w:val="28"/>
        </w:rPr>
        <w:t>«</w:t>
      </w:r>
      <w:bookmarkEnd w:id="0"/>
      <w:r>
        <w:rPr>
          <w:rStyle w:val="Applestylespan"/>
          <w:rFonts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</w:rPr>
        <w:t>Об утверждении Положения о порядке предоставления отчетности о деятельности муниципальных унитарных предприятий муниципального образования «Тереньгульский район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» </w:t>
      </w:r>
      <w:r>
        <w:rPr>
          <w:rFonts w:cs="Times New Roman" w:ascii="PT Astra Serif" w:hAnsi="PT Astra Serif"/>
          <w:color w:val="000000"/>
          <w:szCs w:val="28"/>
        </w:rPr>
        <w:t>(далее – проект акта), подготовленный и направленный для подготовки</w:t>
      </w:r>
      <w:r>
        <w:rPr>
          <w:rFonts w:eastAsia="Times New Roman" w:cs="Times New Roman" w:ascii="PT Astra Serif" w:hAnsi="PT Astra Serif"/>
          <w:color w:val="000000"/>
          <w:spacing w:val="2"/>
          <w:szCs w:val="28"/>
          <w:lang w:eastAsia="ru-RU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>настоящего</w:t>
      </w:r>
      <w:r>
        <w:rPr>
          <w:rFonts w:cs="Times New Roman" w:ascii="PT Astra Serif" w:hAnsi="PT Astra Serif"/>
          <w:szCs w:val="28"/>
        </w:rPr>
        <w:t xml:space="preserve"> заключения Управлением экономического и стратегического развития администрации муниципального образования «Тереньгульский район» (далее – разработчик акта), и сообщает следующее.</w:t>
      </w:r>
    </w:p>
    <w:p>
      <w:pPr>
        <w:pStyle w:val="Normal"/>
        <w:shd w:val="clear" w:fill="FFFFFF"/>
        <w:ind w:left="0" w:right="0" w:firstLine="709"/>
        <w:textAlignment w:val="baseline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ListParagraph"/>
        <w:numPr>
          <w:ilvl w:val="0"/>
          <w:numId w:val="1"/>
        </w:numPr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Описание предлагаемого регулирования.</w:t>
      </w:r>
    </w:p>
    <w:p>
      <w:pPr>
        <w:pStyle w:val="Style17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Проведен анализ результатов исследований, проводимых регулирующим органом, содержащихся в сводном отчете:</w:t>
      </w:r>
    </w:p>
    <w:p>
      <w:pPr>
        <w:pStyle w:val="Style17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изучены мнения потенциальных адресатов предлагаемого правового регулирования, отраженные в своде предложений, поступивших по результатам проведения публичных консультаций;</w:t>
      </w:r>
    </w:p>
    <w:p>
      <w:pPr>
        <w:pStyle w:val="Style17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установлена полнота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>
      <w:pPr>
        <w:pStyle w:val="ListParagraph"/>
        <w:numPr>
          <w:ilvl w:val="0"/>
          <w:numId w:val="1"/>
        </w:numPr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Обоснование целей предлагаемого регулирования.</w:t>
      </w:r>
    </w:p>
    <w:p>
      <w:pPr>
        <w:pStyle w:val="ListParagraph"/>
        <w:numPr>
          <w:ilvl w:val="0"/>
          <w:numId w:val="0"/>
        </w:numPr>
        <w:ind w:left="927" w:right="0" w:hanging="0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/>
      </w:pPr>
      <w:r>
        <w:rPr>
          <w:rFonts w:cs="Times New Roman" w:ascii="PT Astra Serif" w:hAnsi="PT Astra Serif"/>
          <w:szCs w:val="28"/>
        </w:rPr>
        <w:t xml:space="preserve">Проект Постановления администрации МО «Тереньгульский район» </w:t>
      </w:r>
      <w:bookmarkStart w:id="1" w:name="__DdeLink__83_19824953551"/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«</w:t>
      </w:r>
      <w:bookmarkEnd w:id="1"/>
      <w:r>
        <w:rPr>
          <w:rStyle w:val="Applestylespan"/>
          <w:rFonts w:eastAsia="Times New Roman" w:cs="Liberation Serif;Times New Roman" w:ascii="Liberation Serif;Times New Roman" w:hAnsi="Liberation Serif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Об утверждении Положения о порядке предоставления отчетности о деятельности муниципальных унитарных предприятий муниципального образования «Тереньгульский район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»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" w:ascii="PT Astra Serif" w:hAnsi="PT Astra Serif"/>
          <w:b w:val="false"/>
          <w:bCs w:val="false"/>
          <w:sz w:val="28"/>
          <w:szCs w:val="28"/>
          <w:shd w:fill="auto" w:val="clear"/>
        </w:rPr>
        <w:t xml:space="preserve">создается в целях обеспечения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Applestylespan"/>
          <w:rFonts w:eastAsia="Times New Roman" w:cs="Liberation Serif;Times New Roman" w:ascii="Liberation Serif;Times New Roman" w:hAnsi="Liberation Serif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предоставления отчетности о деятельности муниципальных унитарных предприятий.</w:t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3. Замечания по проекту акта.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hanging="0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  <w:szCs w:val="28"/>
        </w:rPr>
        <w:t xml:space="preserve">        </w:t>
      </w:r>
      <w:r>
        <w:rPr>
          <w:rFonts w:cs="Times New Roman" w:ascii="PT Astra Serif" w:hAnsi="PT Astra Serif"/>
          <w:color w:val="000000"/>
          <w:szCs w:val="28"/>
        </w:rPr>
        <w:t>При подготовке проекта акта процедуры, предусмотренные Порядком оценки регулирующего воздействия разработчиком соблюдены.</w:t>
      </w:r>
      <w:r>
        <w:rPr>
          <w:rFonts w:cs="Times New Roman" w:ascii="PT Astra Serif" w:hAnsi="PT Astra Serif"/>
          <w:color w:val="FF0000"/>
          <w:szCs w:val="28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 xml:space="preserve">Проведен анализ оценки актуальности и практической значимости данного акта: актуален и имеет практическую значимость. 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Cs w:val="28"/>
        </w:rPr>
        <w:t>4. Сведения о проведении публичных обсуждений</w:t>
      </w:r>
      <w:r>
        <w:rPr>
          <w:rFonts w:cs="Times New Roman" w:ascii="PT Astra Serif" w:hAnsi="PT Astra Serif"/>
          <w:szCs w:val="28"/>
        </w:rPr>
        <w:t>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10"/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  <w:shd w:fill="auto" w:val="clear"/>
        </w:rPr>
        <w:t>Публичное обсуждение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Style w:val="0pt"/>
          <w:rFonts w:ascii="PT Astra Serif" w:hAnsi="PT Astra Serif"/>
          <w:color w:val="000000"/>
          <w:sz w:val="28"/>
          <w:szCs w:val="28"/>
          <w:shd w:fill="auto" w:val="clear"/>
        </w:rPr>
        <w:t>НПА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проведено в сроки с </w:t>
      </w:r>
      <w:r>
        <w:rPr>
          <w:rFonts w:eastAsia="Times New Roman" w:cs="PT Astra Serif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23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.0</w:t>
      </w:r>
      <w:r>
        <w:rPr>
          <w:rFonts w:eastAsia="Times New Roman" w:cs="PT Astra Serif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7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.2024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г. по </w:t>
      </w:r>
      <w:r>
        <w:rPr>
          <w:rFonts w:eastAsia="Times New Roman" w:cs="PT Astra Serif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23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.0</w:t>
      </w:r>
      <w:r>
        <w:rPr>
          <w:rFonts w:eastAsia="Times New Roman" w:cs="PT Astra Serif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8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.2024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г. посредством размещения указанных документов на официальном сайте в информационно-телекоммуникационной сети Интернет по адресу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https://terenga.gosuslugi.ru/deyatelnost/napravleniya-deyatelnosti/ekonomika/otsenka-reguliruyuschego-vozdeystviya/publichnye-obsuzhdeniya/</w:t>
      </w:r>
    </w:p>
    <w:p>
      <w:pPr>
        <w:pStyle w:val="10"/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Информация о месте размещения материалов для публичных обсуждений проекта акта одновременно была направлена Директору АНО «Центр развития предпринимательства Тереньгульского района Ульяновской области», в Общественную палату муниципального образования «Тереньгульский район» и другим заинтересованным лицам.</w:t>
      </w:r>
    </w:p>
    <w:p>
      <w:pPr>
        <w:pStyle w:val="Normal"/>
        <w:ind w:left="0" w:right="0" w:firstLine="709"/>
        <w:rPr>
          <w:rFonts w:ascii="PT Astra Serif" w:hAnsi="PT Astra Serif" w:cs="Times New Roman"/>
          <w:color w:val="000000"/>
          <w:szCs w:val="28"/>
        </w:rPr>
      </w:pPr>
      <w:r>
        <w:rPr>
          <w:rFonts w:cs="Times New Roman" w:ascii="PT Astra Serif" w:hAnsi="PT Astra Serif"/>
          <w:color w:val="000000"/>
          <w:szCs w:val="28"/>
        </w:rPr>
        <w:t>В рамках публичных обсуждений разработчиком проекта акта были получены отзывы от Директора АНО «Центр развития предпринимательства</w:t>
      </w:r>
    </w:p>
    <w:p>
      <w:pPr>
        <w:pStyle w:val="Normal"/>
        <w:ind w:left="0" w:right="0" w:hanging="0"/>
        <w:rPr>
          <w:rFonts w:ascii="PT Astra Serif" w:hAnsi="PT Astra Serif" w:cs="Times New Roman"/>
          <w:color w:val="000000"/>
          <w:szCs w:val="28"/>
        </w:rPr>
      </w:pPr>
      <w:r>
        <w:rPr>
          <w:rFonts w:cs="Times New Roman" w:ascii="PT Astra Serif" w:hAnsi="PT Astra Serif"/>
          <w:color w:val="000000"/>
          <w:szCs w:val="28"/>
        </w:rPr>
        <w:t>Тереньгульского района Ульяновской области», содержащие позицию, что вариант решения проблемы является оптимальным. Предложений и замечаний нет.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cs="Times New Roman" w:ascii="PT Astra Serif" w:hAnsi="PT Astra Serif"/>
          <w:color w:val="000000"/>
          <w:szCs w:val="28"/>
          <w:shd w:fill="auto" w:val="clear"/>
        </w:rPr>
        <w:t>От остальных участников публичных обсуждений позиций, содержащих замечания и предложений по проекту акта не поступало.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 w:ascii="PT Astra Serif" w:hAnsi="PT Astra Serif"/>
          <w:b/>
          <w:szCs w:val="28"/>
        </w:rPr>
        <w:t>5. Выводы по результатам проведения оценки регулирующего</w:t>
      </w:r>
    </w:p>
    <w:p>
      <w:pPr>
        <w:pStyle w:val="Normal"/>
        <w:ind w:left="0" w:right="0" w:firstLine="709"/>
        <w:jc w:val="center"/>
        <w:rPr/>
      </w:pPr>
      <w:r>
        <w:rPr>
          <w:rFonts w:cs="Times New Roman" w:ascii="PT Astra Serif" w:hAnsi="PT Astra Serif"/>
          <w:b/>
          <w:szCs w:val="28"/>
        </w:rPr>
        <w:t>воздействия.</w:t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/>
      </w:pPr>
      <w:r>
        <w:rPr>
          <w:rFonts w:cs="Times New Roman" w:ascii="PT Astra Serif" w:hAnsi="PT Astra Serif"/>
          <w:szCs w:val="28"/>
        </w:rPr>
        <w:t>На основе проведённой оценки регулирующего воздействия проекта муниципального нормативного правового акта с учётом информации представленной разработчиком, полученной в ходе публичных консультаций, Управлением экономического и стратегического развития администрации муниципального образования «Тереньгульский район» сделаны следующие выводы.</w:t>
      </w:r>
    </w:p>
    <w:p>
      <w:pPr>
        <w:pStyle w:val="Style17"/>
        <w:shd w:val="clear" w:fill="FFFFFF"/>
        <w:tabs>
          <w:tab w:val="clear" w:pos="708"/>
          <w:tab w:val="left" w:pos="1210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 не предусматривает положения, которыми изменяется содержание прав и обязанностей юридических лиц, а также содержание и порядок реализации полномочий органов местного самоуправления муниципального образования «Тереньгульский район» в отношениях с юридическими лицами в сфере предпринимательской и инвестиционной деятельности.</w:t>
      </w:r>
    </w:p>
    <w:p>
      <w:pPr>
        <w:pStyle w:val="Style17"/>
        <w:shd w:val="clear" w:fill="FFFFFF"/>
        <w:tabs>
          <w:tab w:val="clear" w:pos="708"/>
          <w:tab w:val="left" w:pos="1210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Риски не достижения целей правового регулирования, а также возможные негативные последствия от введения правового регулирования для развития отраслей экономики муниципального образования «Тереньгульский район», отсутствуют.</w:t>
      </w:r>
    </w:p>
    <w:p>
      <w:pPr>
        <w:pStyle w:val="Style17"/>
        <w:shd w:val="clear" w:fill="FFFFFF"/>
        <w:tabs>
          <w:tab w:val="clear" w:pos="708"/>
          <w:tab w:val="left" w:pos="1057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Дополнительные расходы местного бюджета, связанные с введением предлагаемого правового регулирования, не предполагаются.</w:t>
      </w:r>
    </w:p>
    <w:p>
      <w:pPr>
        <w:pStyle w:val="Style17"/>
        <w:shd w:val="clear" w:fill="FFFFFF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Положения, способствующие возникновению необоснованных расходов бюджета муниципального образования «Тереньгульский район», отсутствуют.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 xml:space="preserve"> </w:t>
      </w:r>
      <w:r>
        <w:rPr>
          <w:rFonts w:cs="Times New Roman" w:ascii="PT Astra Serif" w:hAnsi="PT Astra Serif"/>
          <w:szCs w:val="28"/>
        </w:rPr>
        <w:t>В результате анализа обоснованности выбора предлагаемого правового регулирования Управление считает, что разработчик выбрал эффективный способ решения проблемы в регулируемой сфере, избыточных обязанностей, запретов и ограничений для субъектов инвестиционной и предпринимательской деятельности или способствующие их введению, а так же положений, способствующих возникновению необоснованных расходов субъектов инвестиционной и предпринимательской деятельности не выявлено.</w:t>
      </w:r>
    </w:p>
    <w:p>
      <w:pPr>
        <w:pStyle w:val="10"/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Результаты проведения публичных консультаций обобщены в сводке предложений по результатам проведения публичного обсуждения. Ответы на перечень вопросов в рамках проведения публичных обсуждений не поступало.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Муниципальный нормативный правовой акт целесообразно принять в представленной разработчиком редакции</w:t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Начальник управления</w:t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экономического и стратегического развития</w:t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администрации муниципального образования</w:t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«Тереньгульский ра</w:t>
      </w:r>
      <w:bookmarkStart w:id="2" w:name="_GoBack"/>
      <w:bookmarkEnd w:id="2"/>
      <w:r>
        <w:rPr>
          <w:rFonts w:cs="Times New Roman" w:ascii="PT Astra Serif" w:hAnsi="PT Astra Serif"/>
          <w:szCs w:val="28"/>
        </w:rPr>
        <w:t>йон»                                                                    Т.В. Пучкова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Century">
    <w:charset w:val="01"/>
    <w:family w:val="roman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7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ucida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ind w:left="0" w:right="0" w:firstLine="567"/>
      <w:jc w:val="both"/>
    </w:pPr>
    <w:rPr>
      <w:rFonts w:ascii="Times New Roman" w:hAnsi="Times New Roman" w:eastAsia="Calibri" w:cs="Tahoma"/>
      <w:color w:val="00000A"/>
      <w:kern w:val="0"/>
      <w:sz w:val="28"/>
      <w:szCs w:val="26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ind w:left="0" w:right="0" w:firstLine="567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ind w:left="0" w:right="0" w:firstLine="567"/>
      <w:outlineLvl w:val="1"/>
    </w:pPr>
    <w:rPr>
      <w:rFonts w:ascii="Cambria" w:hAnsi="Cambria" w:cs="Cambria"/>
      <w:b/>
      <w:bCs/>
      <w:i/>
      <w:iCs/>
      <w:sz w:val="28"/>
      <w:szCs w:val="28"/>
      <w:lang w:val="ru-RU"/>
    </w:rPr>
  </w:style>
  <w:style w:type="paragraph" w:styleId="3">
    <w:name w:val="Heading 3"/>
    <w:basedOn w:val="Normal"/>
    <w:next w:val="Normal"/>
    <w:qFormat/>
    <w:pPr>
      <w:keepNext w:val="true"/>
      <w:spacing w:before="240" w:after="60"/>
      <w:ind w:left="0" w:right="0" w:firstLine="567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spacing w:before="240" w:after="60"/>
      <w:ind w:left="0" w:right="0" w:firstLine="567"/>
      <w:outlineLvl w:val="3"/>
    </w:pPr>
    <w:rPr>
      <w:rFonts w:ascii="Calibri" w:hAnsi="Calibri" w:cs="Calibri"/>
      <w:b/>
      <w:bCs/>
      <w:sz w:val="28"/>
      <w:szCs w:val="28"/>
      <w:lang w:val="ru-RU"/>
    </w:rPr>
  </w:style>
  <w:style w:type="paragraph" w:styleId="6">
    <w:name w:val="Heading 6"/>
    <w:basedOn w:val="Normal"/>
    <w:next w:val="Normal"/>
    <w:qFormat/>
    <w:pPr>
      <w:spacing w:before="240" w:after="60"/>
      <w:ind w:left="0" w:right="0" w:firstLine="567"/>
      <w:outlineLvl w:val="5"/>
    </w:pPr>
    <w:rPr>
      <w:b/>
      <w:bCs/>
      <w:sz w:val="22"/>
      <w:szCs w:val="22"/>
      <w:lang w:val="ru-RU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0pt">
    <w:name w:val="0pt"/>
    <w:basedOn w:val="DefaultParagraphFont"/>
    <w:qFormat/>
    <w:rPr/>
  </w:style>
  <w:style w:type="character" w:styleId="11">
    <w:name w:val="Основной текст Знак1"/>
    <w:basedOn w:val="DefaultParagraphFont"/>
    <w:qFormat/>
    <w:rPr>
      <w:rFonts w:cs="Times New Roman"/>
      <w:szCs w:val="28"/>
      <w:highlight w:val="white"/>
    </w:rPr>
  </w:style>
  <w:style w:type="character" w:styleId="Style9">
    <w:name w:val="Основной текст Знак"/>
    <w:basedOn w:val="DefaultParagraphFont"/>
    <w:qFormat/>
    <w:rPr>
      <w:rFonts w:ascii="Times New Roman" w:hAnsi="Times New Roman" w:cs="Tahoma"/>
      <w:sz w:val="28"/>
      <w:szCs w:val="26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Style11">
    <w:name w:val="Основной шрифт абзаца"/>
    <w:qFormat/>
    <w:rPr/>
  </w:style>
  <w:style w:type="character" w:styleId="Applestylespan">
    <w:name w:val="apple-style-span"/>
    <w:basedOn w:val="Style1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Arial"/>
      <w:sz w:val="27"/>
    </w:rPr>
  </w:style>
  <w:style w:type="character" w:styleId="WW8Num2z1">
    <w:name w:val="WW8Num2z1"/>
    <w:qFormat/>
    <w:rPr>
      <w:b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Arial"/>
      <w:sz w:val="27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2">
    <w:name w:val="Основной текст с отступом Знак"/>
    <w:qFormat/>
    <w:rPr>
      <w:sz w:val="24"/>
      <w:szCs w:val="24"/>
    </w:rPr>
  </w:style>
  <w:style w:type="character" w:styleId="22">
    <w:name w:val="Основной текст с отступом 2 Знак"/>
    <w:qFormat/>
    <w:rPr>
      <w:sz w:val="24"/>
      <w:szCs w:val="24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31">
    <w:name w:val="Заголовок 3 Знак"/>
    <w:qFormat/>
    <w:rPr>
      <w:rFonts w:ascii="Arial" w:hAnsi="Arial" w:cs="Arial"/>
      <w:b/>
      <w:bCs/>
      <w:sz w:val="26"/>
      <w:szCs w:val="26"/>
      <w:lang w:val="ru-RU"/>
    </w:rPr>
  </w:style>
  <w:style w:type="character" w:styleId="23">
    <w:name w:val="Основной текст 2 Знак"/>
    <w:qFormat/>
    <w:rPr>
      <w:sz w:val="24"/>
      <w:szCs w:val="24"/>
    </w:rPr>
  </w:style>
  <w:style w:type="character" w:styleId="41">
    <w:name w:val="Заголовок 4 Знак"/>
    <w:qFormat/>
    <w:rPr>
      <w:rFonts w:ascii="Calibri" w:hAnsi="Calibri" w:cs="Calibri"/>
      <w:b/>
      <w:bCs/>
      <w:sz w:val="28"/>
      <w:szCs w:val="28"/>
    </w:rPr>
  </w:style>
  <w:style w:type="character" w:styleId="Style13">
    <w:name w:val="Верхний колонтитул Знак"/>
    <w:qFormat/>
    <w:rPr>
      <w:sz w:val="24"/>
      <w:szCs w:val="24"/>
    </w:rPr>
  </w:style>
  <w:style w:type="character" w:styleId="Style14">
    <w:name w:val="Нижний колонтитул Знак"/>
    <w:qFormat/>
    <w:rPr>
      <w:sz w:val="24"/>
      <w:szCs w:val="24"/>
    </w:rPr>
  </w:style>
  <w:style w:type="character" w:styleId="Style15">
    <w:name w:val="Выделение жирным"/>
    <w:qFormat/>
    <w:rPr>
      <w:b/>
      <w:bCs/>
    </w:rPr>
  </w:style>
  <w:style w:type="character" w:styleId="12">
    <w:name w:val="Основной шрифт абзаца1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Lucida Sans"/>
      <w:sz w:val="28"/>
      <w:szCs w:val="28"/>
    </w:rPr>
  </w:style>
  <w:style w:type="paragraph" w:styleId="Style17">
    <w:name w:val="Body Text"/>
    <w:basedOn w:val="Normal"/>
    <w:pPr>
      <w:shd w:val="clear" w:fill="FFFFFF"/>
      <w:spacing w:lineRule="atLeast" w:line="240" w:before="120" w:after="120"/>
      <w:ind w:left="0" w:right="0" w:hanging="600"/>
      <w:jc w:val="left"/>
    </w:pPr>
    <w:rPr>
      <w:rFonts w:ascii="Calibri" w:hAnsi="Calibri" w:cs="Times New Roman"/>
      <w:sz w:val="22"/>
      <w:szCs w:val="28"/>
    </w:rPr>
  </w:style>
  <w:style w:type="paragraph" w:styleId="Style18">
    <w:name w:val="List"/>
    <w:basedOn w:val="Style17"/>
    <w:pPr>
      <w:shd w:val="clear" w:fill="FFFFFF"/>
    </w:pPr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0">
    <w:name w:val="10"/>
    <w:basedOn w:val="Normal"/>
    <w:qFormat/>
    <w:pPr>
      <w:spacing w:before="280" w:after="280"/>
      <w:ind w:left="0" w:right="0"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567"/>
      <w:contextualSpacing/>
    </w:pPr>
    <w:rPr/>
  </w:style>
  <w:style w:type="paragraph" w:styleId="Style21">
    <w:name w:val="Обычный (веб)"/>
    <w:basedOn w:val="Normal"/>
    <w:qFormat/>
    <w:pPr>
      <w:spacing w:before="120" w:after="120"/>
      <w:ind w:left="75" w:right="75" w:firstLine="240"/>
    </w:pPr>
    <w:rPr/>
  </w:style>
  <w:style w:type="paragraph" w:styleId="ConsPlusNormal1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Fn2r">
    <w:name w:val="fn2r"/>
    <w:basedOn w:val="Normal"/>
    <w:qFormat/>
    <w:pPr>
      <w:spacing w:before="280" w:after="280"/>
    </w:pPr>
    <w:rPr/>
  </w:style>
  <w:style w:type="paragraph" w:styleId="24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13">
    <w:name w:val="нум список 1"/>
    <w:basedOn w:val="Normal"/>
    <w:qFormat/>
    <w:pPr>
      <w:numPr>
        <w:ilvl w:val="0"/>
        <w:numId w:val="2"/>
      </w:numPr>
      <w:spacing w:before="120" w:after="120"/>
      <w:ind w:left="-720" w:right="0" w:hanging="0"/>
      <w:jc w:val="both"/>
    </w:pPr>
    <w:rPr>
      <w:szCs w:val="20"/>
    </w:rPr>
  </w:style>
  <w:style w:type="paragraph" w:styleId="Style22">
    <w:name w:val="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14">
    <w:name w:val="марк список 1"/>
    <w:basedOn w:val="Normal"/>
    <w:qFormat/>
    <w:pPr>
      <w:tabs>
        <w:tab w:val="clear" w:pos="708"/>
        <w:tab w:val="left" w:pos="360" w:leader="none"/>
      </w:tabs>
      <w:spacing w:before="120" w:after="120"/>
      <w:jc w:val="both"/>
    </w:pPr>
    <w:rPr/>
  </w:style>
  <w:style w:type="paragraph" w:styleId="Style23">
    <w:name w:val="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 w:cs="Courier New"/>
      <w:sz w:val="20"/>
      <w:szCs w:val="20"/>
    </w:rPr>
  </w:style>
  <w:style w:type="paragraph" w:styleId="Style24">
    <w:name w:val="основной текст документа"/>
    <w:basedOn w:val="Normal"/>
    <w:qFormat/>
    <w:pPr>
      <w:spacing w:before="120" w:after="120"/>
      <w:jc w:val="both"/>
    </w:pPr>
    <w:rPr>
      <w:szCs w:val="20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pPr>
      <w:spacing w:before="0" w:after="120"/>
      <w:ind w:left="283" w:right="0" w:hanging="0"/>
    </w:pPr>
    <w:rPr>
      <w:lang w:val="ru-RU"/>
    </w:rPr>
  </w:style>
  <w:style w:type="paragraph" w:styleId="25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>
      <w:lang w:val="ru-RU"/>
    </w:rPr>
  </w:style>
  <w:style w:type="paragraph" w:styleId="ConsNormal">
    <w:name w:val="Con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0">
    <w:name w:val="Абзац списка"/>
    <w:basedOn w:val="Normal"/>
    <w:qFormat/>
    <w:pPr>
      <w:suppressAutoHyphens w:val="true"/>
      <w:spacing w:before="0" w:after="0"/>
      <w:ind w:left="720" w:right="0" w:hanging="0"/>
      <w:contextualSpacing/>
    </w:pPr>
    <w:rPr>
      <w:rFonts w:ascii="Century" w:hAnsi="Century" w:cs="Century"/>
      <w:sz w:val="20"/>
      <w:szCs w:val="20"/>
      <w:lang w:val="en-US"/>
    </w:rPr>
  </w:style>
  <w:style w:type="paragraph" w:styleId="ConsTitle">
    <w:name w:val="ConsTitle"/>
    <w:qFormat/>
    <w:pPr>
      <w:widowControl w:val="false"/>
      <w:suppressAutoHyphens w:val="true"/>
      <w:overflowPunct w:val="fals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31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32">
    <w:name w:val="Содержимое врезки"/>
    <w:basedOn w:val="Normal"/>
    <w:qFormat/>
    <w:pPr/>
    <w:rPr/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15">
    <w:name w:val="Указатель1"/>
    <w:basedOn w:val="Normal"/>
    <w:qFormat/>
    <w:pPr>
      <w:suppressLineNumbers/>
    </w:pPr>
    <w:rPr>
      <w:rFonts w:cs="Mangal"/>
    </w:rPr>
  </w:style>
  <w:style w:type="paragraph" w:styleId="16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LibreOffice/7.0.6.2$Linux_X86_64 LibreOffice_project/00$Build-2</Application>
  <AppVersion>15.0000</AppVersion>
  <Pages>3</Pages>
  <Words>660</Words>
  <Characters>5767</Characters>
  <CharactersWithSpaces>6489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2017-10-19T12:01:00Z</dcterms:created>
  <dc:creator>Пучкова</dc:creator>
  <dc:description/>
  <dc:language>ru-RU</dc:language>
  <cp:lastModifiedBy/>
  <dcterms:modified xsi:type="dcterms:W3CDTF">2024-07-26T15:28:49Z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