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Заключение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об оценке регулирующего воздействия проекта постановления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«Тереньгульский район»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eastAsia="Times New Roman" w:cs="PT Astra Serif;Times New Roman" w:ascii="PT Astra Serif;Times New Roman" w:hAnsi="PT Astra Serif;Times New Roman"/>
          <w:b/>
          <w:color w:val="000000"/>
          <w:sz w:val="28"/>
          <w:szCs w:val="28"/>
          <w:lang w:val="ru-RU" w:eastAsia="zh-CN" w:bidi="ar-SA"/>
        </w:rPr>
        <w:t>С</w:t>
      </w:r>
      <w:r>
        <w:rPr>
          <w:rFonts w:cs="PT Astra Serif;Times New Roman" w:ascii="PT Astra Serif;Times New Roman" w:hAnsi="PT Astra Serif;Times New Roman"/>
          <w:b/>
          <w:color w:val="000000"/>
          <w:sz w:val="28"/>
          <w:szCs w:val="28"/>
        </w:rPr>
        <w:t xml:space="preserve">хемы размещения нестационарных торговых объектов на территории муниципального образования </w:t>
      </w:r>
      <w:r>
        <w:rPr>
          <w:rFonts w:eastAsia="Times New Roman" w:cs="PT Astra Serif;Times New Roman" w:ascii="PT Astra Serif;Times New Roman" w:hAnsi="PT Astra Serif;Times New Roman"/>
          <w:b/>
          <w:color w:val="auto"/>
          <w:sz w:val="28"/>
          <w:szCs w:val="28"/>
          <w:lang w:val="ru-RU" w:eastAsia="zh-CN" w:bidi="ar-SA"/>
        </w:rPr>
        <w:t>«Тереньгульск</w:t>
      </w:r>
      <w:r>
        <w:rPr>
          <w:rFonts w:eastAsia="Times New Roman" w:cs="PT Astra Serif;Times New Roman" w:ascii="PT Astra Serif;Times New Roman" w:hAnsi="PT Astra Serif;Times New Roman"/>
          <w:b/>
          <w:color w:val="auto"/>
          <w:sz w:val="28"/>
          <w:szCs w:val="28"/>
          <w:lang w:val="ru-RU" w:eastAsia="zh-CN" w:bidi="ar-SA"/>
        </w:rPr>
        <w:t>ий район</w:t>
      </w:r>
      <w:r>
        <w:rPr>
          <w:rFonts w:eastAsia="Times New Roman" w:cs="PT Astra Serif;Times New Roman" w:ascii="PT Astra Serif;Times New Roman" w:hAnsi="PT Astra Serif;Times New Roman"/>
          <w:b/>
          <w:color w:val="auto"/>
          <w:sz w:val="28"/>
          <w:szCs w:val="28"/>
          <w:lang w:val="ru-RU" w:eastAsia="zh-CN" w:bidi="ar-SA"/>
        </w:rPr>
        <w:t>»</w:t>
      </w: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»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hd w:val="clear" w:fill="FFFFFF"/>
        <w:ind w:left="0" w:right="0" w:firstLine="709"/>
        <w:jc w:val="both"/>
        <w:textAlignment w:val="baseline"/>
        <w:rPr/>
      </w:pPr>
      <w:r>
        <w:rPr>
          <w:rFonts w:cs="Times New Roman" w:ascii="PT Astra Serif" w:hAnsi="PT Astra Serif"/>
          <w:szCs w:val="28"/>
        </w:rPr>
        <w:t xml:space="preserve">Управление экономического и стратегического развития  администрации муниципального образования «Тереньгульский район»,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 вопросы осуществления предпринимательской и инвестиционной деятельности, и порядке проведения оценки фактического воздействия  нормативных правовых актов Ульяновской области, затрагивающих осуществление предпринимательской и инвестиционной деятельности»,  постановлением Администрации муниципального образования «Тереньгульский район» от 02 октября 2015 года №588 «Об утверждении Положения о проведении оценки регулирующего воздействия проектов нормативных правовых актов муниципального образования «Тереньгульский  район», рассмотрело Постановления администрации МО «Тереньгульский район» </w:t>
      </w:r>
      <w:bookmarkStart w:id="0" w:name="__DdeLink__83_1982495355"/>
      <w:r>
        <w:rPr>
          <w:rFonts w:cs="Times New Roman" w:ascii="PT Astra Serif" w:hAnsi="PT Astra Serif"/>
          <w:b w:val="false"/>
          <w:bCs w:val="false"/>
          <w:szCs w:val="28"/>
        </w:rPr>
        <w:t>«</w:t>
      </w:r>
      <w:bookmarkEnd w:id="0"/>
      <w:r>
        <w:rPr>
          <w:rFonts w:eastAsia="Times New Roman" w:cs="PT Astra Serif;Times New Roman" w:ascii="PT Astra Serif;Times New Roman" w:hAnsi="PT Astra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Схемы размещения нестационарных торговых объектов на территории муниципального образования «Тереньгульский район»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>(далее – проект акта), подготовленный и направленный для подготовки</w:t>
      </w:r>
      <w:r>
        <w:rPr>
          <w:rFonts w:eastAsia="Times New Roman" w:cs="Times New Roman" w:ascii="PT Astra Serif" w:hAnsi="PT Astra Serif"/>
          <w:color w:val="000000"/>
          <w:spacing w:val="2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>настоящего</w:t>
      </w:r>
      <w:r>
        <w:rPr>
          <w:rFonts w:cs="Times New Roman" w:ascii="PT Astra Serif" w:hAnsi="PT Astra Serif"/>
          <w:szCs w:val="28"/>
        </w:rPr>
        <w:t xml:space="preserve"> заключения Управлением экономического и стратегического развития администрации муниципального образования «Тереньгульский район» (далее – разработчик акта), и сообщает следующее.</w:t>
      </w:r>
    </w:p>
    <w:p>
      <w:pPr>
        <w:pStyle w:val="Normal"/>
        <w:shd w:val="clear" w:fill="FFFFFF"/>
        <w:ind w:left="0" w:right="0" w:firstLine="709"/>
        <w:textAlignment w:val="baseline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Описание предлагаемого регулирования.</w:t>
      </w:r>
    </w:p>
    <w:p>
      <w:pPr>
        <w:pStyle w:val="Style18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Проведен анализ результатов исследований, проводимых регулирующим органом, содержащихся в сводном отчете:</w:t>
      </w:r>
    </w:p>
    <w:p>
      <w:pPr>
        <w:pStyle w:val="Style18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</w:r>
    </w:p>
    <w:p>
      <w:pPr>
        <w:pStyle w:val="Style18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установлена полнота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Обоснование целей предлагаемого регулирования.</w:t>
      </w:r>
    </w:p>
    <w:p>
      <w:pPr>
        <w:pStyle w:val="ListParagraph"/>
        <w:numPr>
          <w:ilvl w:val="0"/>
          <w:numId w:val="0"/>
        </w:numPr>
        <w:ind w:left="927" w:right="0" w:hanging="0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 xml:space="preserve">Проект Постановления администрации МО «Тереньгульский район» </w:t>
      </w:r>
      <w:bookmarkStart w:id="1" w:name="__DdeLink__83_19824953551"/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«</w:t>
      </w:r>
      <w:bookmarkEnd w:id="1"/>
      <w:r>
        <w:rPr>
          <w:rFonts w:eastAsia="Times New Roman" w:cs="PT Astra Serif;Times New Roman" w:ascii="PT Astra Serif;Times New Roman" w:hAnsi="PT Astra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Схемы размещения нестационарных торговых объектов на территории муниципального образования «Тереньгульск</w:t>
      </w:r>
      <w:r>
        <w:rPr>
          <w:rFonts w:eastAsia="Times New Roman" w:cs="PT Astra Serif;Times New Roman" w:ascii="PT Astra Serif;Times New Roman" w:hAnsi="PT Astra Serif;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>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PT Astra Serif" w:hAnsi="PT Astra Serif"/>
          <w:szCs w:val="28"/>
        </w:rPr>
        <w:t xml:space="preserve"> </w:t>
      </w: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>- упорядочение размещения НТО на территории муниципального образования «Тереньгульский район», муниципального образования «Тереньгульское городское поселение» Тереньгульского района Ульяновской области;</w:t>
      </w:r>
    </w:p>
    <w:p>
      <w:pPr>
        <w:pStyle w:val="ConsPlusNormal"/>
        <w:ind w:left="0" w:right="0" w:hanging="0"/>
        <w:jc w:val="both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ab/>
        <w:t>- обеспечение устойчивого развития территории муниципального образования «Тереньгульский район;</w:t>
      </w:r>
    </w:p>
    <w:p>
      <w:pPr>
        <w:pStyle w:val="ConsPlusNormal"/>
        <w:ind w:left="0" w:right="0" w:hanging="0"/>
        <w:jc w:val="both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ab/>
        <w:t>- достижение нормативов минимальной обеспеченности населения площадью торговых объектов на территории муниципального образования «Тереньгульский район» Ульяновской области, муниципального образования «Тереньгульское городское поселение» Тереньгульского района Ульяновской области;</w:t>
      </w:r>
    </w:p>
    <w:p>
      <w:pPr>
        <w:pStyle w:val="ConsPlusNormal"/>
        <w:ind w:left="0" w:right="0" w:hanging="0"/>
        <w:jc w:val="both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ab/>
        <w:t>- создание условий для обеспечения жителей Тереньгульского района качественными и безопасными товарами и услугами;</w:t>
      </w:r>
    </w:p>
    <w:p>
      <w:pPr>
        <w:pStyle w:val="Normal"/>
        <w:ind w:left="0" w:right="0" w:firstLine="709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  <w:shd w:fill="auto" w:val="clear"/>
        </w:rPr>
      </w:pP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«Тереньгульский район» Ульяновской области, муниципального образования «Тереньгульское городское поселение» Тереньгульского района Ульяновской области.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3. Замечания по проекту акта.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hanging="0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Cs w:val="28"/>
        </w:rPr>
        <w:t xml:space="preserve">          </w:t>
      </w:r>
      <w:r>
        <w:rPr>
          <w:rFonts w:cs="Times New Roman" w:ascii="PT Astra Serif" w:hAnsi="PT Astra Serif"/>
          <w:color w:val="000000"/>
          <w:szCs w:val="28"/>
        </w:rPr>
        <w:t>При подготовке проекта акта процедуры, предусмотренные Порядком оценки регулирующего воздействия разработчиком соблюдены.</w:t>
      </w:r>
      <w:r>
        <w:rPr>
          <w:rFonts w:cs="Times New Roman" w:ascii="PT Astra Serif" w:hAnsi="PT Astra Serif"/>
          <w:color w:val="FF0000"/>
          <w:szCs w:val="28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 xml:space="preserve">Проведен анализ оценки актуальности и практической значимости данного акта: актуален и имеет практическую значимость. 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Cs w:val="28"/>
        </w:rPr>
        <w:t>4. Сведения о проведении публичных обсуждений</w:t>
      </w:r>
      <w:r>
        <w:rPr>
          <w:rFonts w:cs="Times New Roman" w:ascii="PT Astra Serif" w:hAnsi="PT Astra Serif"/>
          <w:szCs w:val="28"/>
        </w:rPr>
        <w:t>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  <w:shd w:fill="auto" w:val="clear"/>
        </w:rPr>
        <w:t>Публичное обсуждение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Style w:val="0pt"/>
          <w:rFonts w:ascii="PT Astra Serif" w:hAnsi="PT Astra Serif"/>
          <w:color w:val="000000"/>
          <w:sz w:val="28"/>
          <w:szCs w:val="28"/>
          <w:shd w:fill="auto" w:val="clear"/>
        </w:rPr>
        <w:t>НПА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проведено в сроки с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05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8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0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09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посредством размещения указанных документов на официальном сайте в информационно-телекоммуникационной сети Интернет по адресу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https://terenga.gosuslugi.ru/deyatelnost/napravleniya-deyatelnosti/ekonomika/otsenka-reguliruyuschego-vozdeystviya/publichnye-obsuzhdeniya/2024-god/</w:t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Информация о месте размещения материалов для публичных обсуждений проекта акта одновременно была направлена Директору АНО «Центр развития предпринимательства Тереньгульского района Ульяновской области», в Общественную палату муниципального образования «Тереньгульский район» и другим заинтересованным лицам.</w:t>
      </w:r>
    </w:p>
    <w:p>
      <w:pPr>
        <w:pStyle w:val="Normal"/>
        <w:ind w:left="0" w:right="0" w:firstLine="709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В рамках публичных обсуждений разработчиком проекта акта были получены отзывы от Директора АНО «Центр развития предпринимательства</w:t>
      </w:r>
    </w:p>
    <w:p>
      <w:pPr>
        <w:pStyle w:val="Normal"/>
        <w:ind w:left="0" w:right="0" w:hanging="0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Тереньгульского района Ульяновской области», содержащие позицию, что вариант решения проблемы является оптимальным. Предложений и замечаний нет.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cs="Times New Roman" w:ascii="PT Astra Serif" w:hAnsi="PT Astra Serif"/>
          <w:color w:val="000000"/>
          <w:szCs w:val="28"/>
          <w:shd w:fill="auto" w:val="clear"/>
        </w:rPr>
        <w:t>От остальных участников публичных обсуждений позиций, содержащих замечания и предложений по проекту акта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5. Выводы по результатам проведения оценки регулирующего</w:t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воздействия.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>На основе проведённой оценки регулирующего воздействия проекта муниципального нормативного правового акта с учётом информации представленной разработчиком, полученной в ходе публичных консультаций, Управлением экономического и стратегического развития администрации муниципального образования «Тереньгульский район» сделаны следующие выводы.</w:t>
      </w:r>
    </w:p>
    <w:p>
      <w:pPr>
        <w:pStyle w:val="Style18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не предусматривает положения, которыми изменяется содержание прав и обязанностей юридических лиц, а также содержание и порядок реализации полномочий органов местного самоуправления муниципального образования «Тереньгульский район» в отношениях с юридическими лицами в сфере предпринимательской и инвестиционной деятельности.</w:t>
      </w:r>
    </w:p>
    <w:p>
      <w:pPr>
        <w:pStyle w:val="Style18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Риски не 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муниципального образования «Тереньгульский район», отсутствуют.</w:t>
      </w:r>
    </w:p>
    <w:p>
      <w:pPr>
        <w:pStyle w:val="Style18"/>
        <w:shd w:val="clear" w:fill="FFFFFF"/>
        <w:tabs>
          <w:tab w:val="clear" w:pos="708"/>
          <w:tab w:val="left" w:pos="1057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Дополнительные расходы местного бюджета, связанные с введением предлагаемого правового регулирования, не предполагаются.</w:t>
      </w:r>
    </w:p>
    <w:p>
      <w:pPr>
        <w:pStyle w:val="Style18"/>
        <w:shd w:val="clear" w:fill="FFFFFF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Положения, способствующие возникновению необоснованных расходов бюджета муниципального образования «Тереньгульский район», отсутствуют.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 xml:space="preserve"> </w:t>
      </w:r>
      <w:r>
        <w:rPr>
          <w:rFonts w:cs="Times New Roman" w:ascii="PT Astra Serif" w:hAnsi="PT Astra Serif"/>
          <w:szCs w:val="28"/>
        </w:rPr>
        <w:t>В результате анализа обоснованности выбора предлагаемого правового регулирования Управление считает, что разработчик выбрал эффективный способ решения проблемы в регулируемой сфере, избыточных обязанностей, запретов и ограничений для субъектов инвестиционной и предпринимательской деятельности или способствующие их введению, а так же положений, способствующих возникновению необоснованных расходов субъектов инвестиционной и предпринимательской деятельности не выявлено.</w:t>
      </w:r>
    </w:p>
    <w:p>
      <w:pPr>
        <w:pStyle w:val="10"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Результаты проведения публичных консультаций обобщены в сводке предложений по результатам проведения публичного обсуждения. Ответы на перечень вопросов в рамках проведения публичных обсуждений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Муниципальный нормативный правовой акт целесообразно принять в представленной разработчиком редакции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Начальник управления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экономического и стратегического развития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администрации муниципального образования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«Тереньгульский ра</w:t>
      </w:r>
      <w:bookmarkStart w:id="2" w:name="_GoBack"/>
      <w:bookmarkEnd w:id="2"/>
      <w:r>
        <w:rPr>
          <w:rFonts w:cs="Times New Roman" w:ascii="PT Astra Serif" w:hAnsi="PT Astra Serif"/>
          <w:szCs w:val="28"/>
        </w:rPr>
        <w:t>йон»                                                                    Т.В. Пучкова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ucida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567"/>
      <w:jc w:val="both"/>
    </w:pPr>
    <w:rPr>
      <w:rFonts w:ascii="Times New Roman" w:hAnsi="Times New Roman" w:eastAsia="Calibri" w:cs="Tahoma"/>
      <w:color w:val="00000A"/>
      <w:kern w:val="0"/>
      <w:sz w:val="28"/>
      <w:szCs w:val="26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0pt">
    <w:name w:val="0pt"/>
    <w:basedOn w:val="DefaultParagraphFont"/>
    <w:qFormat/>
    <w:rPr/>
  </w:style>
  <w:style w:type="character" w:styleId="1">
    <w:name w:val="Основной текст Знак1"/>
    <w:basedOn w:val="DefaultParagraphFont"/>
    <w:qFormat/>
    <w:rPr>
      <w:rFonts w:cs="Times New Roman"/>
      <w:szCs w:val="28"/>
      <w:highlight w:val="white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cs="Tahoma"/>
      <w:sz w:val="28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4">
    <w:name w:val="Знак Знак4"/>
    <w:qFormat/>
    <w:rPr>
      <w:sz w:val="28"/>
      <w:lang w:val="ru-RU" w:bidi="ar-SA"/>
    </w:rPr>
  </w:style>
  <w:style w:type="character" w:styleId="1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Lucida Sans"/>
      <w:sz w:val="28"/>
      <w:szCs w:val="28"/>
    </w:rPr>
  </w:style>
  <w:style w:type="paragraph" w:styleId="Style18">
    <w:name w:val="Body Text"/>
    <w:basedOn w:val="Normal"/>
    <w:pPr>
      <w:shd w:val="clear" w:fill="FFFFFF"/>
      <w:spacing w:lineRule="atLeast" w:line="240" w:before="120" w:after="120"/>
      <w:ind w:left="0" w:right="0" w:hanging="600"/>
      <w:jc w:val="left"/>
    </w:pPr>
    <w:rPr>
      <w:rFonts w:ascii="Calibri" w:hAnsi="Calibri" w:cs="Times New Roman"/>
      <w:sz w:val="22"/>
      <w:szCs w:val="28"/>
    </w:rPr>
  </w:style>
  <w:style w:type="paragraph" w:styleId="Style19">
    <w:name w:val="List"/>
    <w:basedOn w:val="Style18"/>
    <w:pPr>
      <w:shd w:val="clear" w:fill="FFFFFF"/>
    </w:pPr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0">
    <w:name w:val="10"/>
    <w:basedOn w:val="Normal"/>
    <w:qFormat/>
    <w:pPr>
      <w:spacing w:before="280" w:after="280"/>
      <w:ind w:left="0" w:right="0"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567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Liberation Serif;Times New Roman"/>
      <w:color w:val="auto"/>
      <w:kern w:val="2"/>
      <w:sz w:val="20"/>
      <w:szCs w:val="20"/>
      <w:lang w:val="ru-RU" w:eastAsia="zh-CN" w:bidi="hi-IN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2">
    <w:name w:val="Указатель1"/>
    <w:basedOn w:val="Normal"/>
    <w:qFormat/>
    <w:pPr>
      <w:suppressLineNumbers/>
    </w:pPr>
    <w:rPr>
      <w:rFonts w:cs="Droid Sans Devanagari;Times New Roman"/>
    </w:rPr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Droid Sans Devanagari;Times New Roman"/>
      <w:i/>
      <w:iCs/>
      <w:sz w:val="24"/>
      <w:szCs w:val="24"/>
    </w:rPr>
  </w:style>
  <w:style w:type="paragraph" w:styleId="13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Droid Sans Fallback" w:cs="Droid Sans Devanagari;Times New Roman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LibreOffice/7.0.6.2$Linux_X86_64 LibreOffice_project/00$Build-2</Application>
  <AppVersion>15.0000</AppVersion>
  <Pages>4</Pages>
  <Words>731</Words>
  <Characters>6450</Characters>
  <CharactersWithSpaces>7243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2017-10-19T12:01:00Z</dcterms:created>
  <dc:creator>Пучкова</dc:creator>
  <dc:description/>
  <dc:language>ru-RU</dc:language>
  <cp:lastModifiedBy/>
  <dcterms:modified xsi:type="dcterms:W3CDTF">2024-08-05T16:04:48Z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