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ind w:right="-1" w:hanging="0"/>
        <w:jc w:val="center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«ТЕРЕНЬГУЛЬСКИЙ РАЙОН»</w:t>
      </w:r>
    </w:p>
    <w:p>
      <w:pPr>
        <w:pStyle w:val="Normal"/>
        <w:ind w:right="-1" w:hanging="0"/>
        <w:jc w:val="center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УЛЬЯНОВСКОЙ ОБЛАСТИ</w:t>
      </w:r>
    </w:p>
    <w:p>
      <w:pPr>
        <w:pStyle w:val="Normal"/>
        <w:ind w:left="1134" w:hanging="0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ind w:left="0" w:hanging="0"/>
        <w:jc w:val="center"/>
        <w:rPr>
          <w:sz w:val="36"/>
          <w:szCs w:val="36"/>
        </w:rPr>
      </w:pPr>
      <w:r>
        <w:rPr>
          <w:rFonts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28"/>
          <w:szCs w:val="28"/>
        </w:rPr>
      </w:pPr>
      <w:r>
        <w:rPr>
          <w:rFonts w:ascii="PT Astra Serif" w:hAnsi="PT Astra Serif"/>
          <w:b/>
          <w:spacing w:val="144"/>
          <w:sz w:val="28"/>
          <w:szCs w:val="28"/>
        </w:rPr>
      </w:r>
    </w:p>
    <w:p>
      <w:pPr>
        <w:pStyle w:val="Normal"/>
        <w:rPr>
          <w:rFonts w:ascii="PT Astra Serif" w:hAnsi="PT Astra Serif"/>
          <w:b/>
          <w:b/>
          <w:spacing w:val="144"/>
          <w:sz w:val="28"/>
          <w:szCs w:val="28"/>
        </w:rPr>
      </w:pPr>
      <w:r>
        <w:rPr>
          <w:rFonts w:ascii="PT Astra Serif" w:hAnsi="PT Astra Serif"/>
          <w:b/>
          <w:spacing w:val="144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27 февраля 2025 года </w:t>
        <w:tab/>
        <w:tab/>
        <w:tab/>
        <w:tab/>
        <w:tab/>
        <w:t xml:space="preserve">                            № 87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 xml:space="preserve">                  Экз. № ___</w:t>
      </w:r>
    </w:p>
    <w:p>
      <w:pPr>
        <w:pStyle w:val="Normal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Положения о порядке осуществления ведомственного </w:t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контроля в сфере закупок для обеспечения муниципальных нужд</w:t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«Тереньгульский район» Ульяновской области</w:t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</w:r>
    </w:p>
    <w:p>
      <w:pPr>
        <w:pStyle w:val="NoSpacing"/>
        <w:tabs>
          <w:tab w:val="clear" w:pos="708"/>
          <w:tab w:val="left" w:pos="709" w:leader="none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со статьёй 100 Федерального закона от 05.04.2013 № 44-ФЗ «О контрактной системе в сфере закупок товаров, работ, услуг для беспечения государственных и муниципальных нужд», администрация  </w:t>
      </w:r>
      <w:r>
        <w:rPr>
          <w:rFonts w:cs="PT Astra Serif" w:ascii="PT Astra Serif" w:hAnsi="PT Astra Serif"/>
          <w:color w:val="000000" w:themeColor="text1"/>
          <w:sz w:val="28"/>
          <w:szCs w:val="28"/>
        </w:rPr>
        <w:t xml:space="preserve">муниципального образования «Тереньгульский район» Ульяновской области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 о с т а н о в л я е т: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tLeast" w:line="20" w:before="0" w:after="0"/>
        <w:ind w:left="0" w:firstLine="67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Утвердить прилагаемое Положение о порядке осуществления ведомственного контроля в сфере закупок для обеспечения муниципальных нужд муниципального образования «Тереньгульский район» Ульяновской области.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tLeast" w:line="20" w:before="0" w:after="0"/>
        <w:ind w:left="0" w:firstLine="67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Признать утратившим силу постановление администрации муниципального образования «Тереньгульский район» Ульяновской области от 11.03.2014 № 121 «Об утверждении порядка осуществления ведомственного контроля в сфере закупок для обеспечения муниципальных нужд»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tLeast" w:line="20" w:before="0" w:after="0"/>
        <w:ind w:left="0" w:firstLine="67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Контроль за исполнением настоящего постановления возложить на Первого заместителя Главы </w:t>
      </w:r>
      <w:r>
        <w:rPr>
          <w:rFonts w:cs="PT Astra Serif"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cs="Times New Roman" w:ascii="PT Astra Serif" w:hAnsi="PT Astra Serif"/>
          <w:color w:val="000000" w:themeColor="text1"/>
          <w:sz w:val="28"/>
          <w:szCs w:val="28"/>
        </w:rPr>
        <w:t>«Тереньгульский район» Магадеева С.И.</w:t>
      </w:r>
    </w:p>
    <w:p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>
        <w:rPr>
          <w:rFonts w:cs="PT Astra Serif" w:ascii="PT Astra Serif" w:hAnsi="PT Astra Serif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ConsPlusNormal"/>
        <w:widowControl/>
        <w:ind w:hanging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widowControl/>
        <w:ind w:hanging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 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1134" w:footer="1134" w:bottom="1832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ind w:left="0" w:right="0" w:hanging="0"/>
        <w:outlineLvl w:val="0"/>
        <w:rPr>
          <w:rFonts w:ascii="PT Astra Serif" w:hAnsi="PT Astra Serif" w:cs="PT Astra Serif"/>
          <w:sz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>«Тереньгульский район»                                                                     Г.А.Шерстнев</w:t>
      </w:r>
    </w:p>
    <w:p>
      <w:pPr>
        <w:pStyle w:val="Normal"/>
        <w:spacing w:lineRule="auto" w:line="360"/>
        <w:ind w:left="0" w:right="0" w:hanging="0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>УТВЕРЖДЕНО</w:t>
      </w:r>
    </w:p>
    <w:p>
      <w:pPr>
        <w:pStyle w:val="ConsPlusNormal"/>
        <w:spacing w:lineRule="auto" w:line="228"/>
        <w:ind w:left="5670" w:right="0" w:hanging="0"/>
        <w:jc w:val="center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постановлением администрации</w:t>
      </w:r>
    </w:p>
    <w:p>
      <w:pPr>
        <w:pStyle w:val="ConsPlusNormal"/>
        <w:spacing w:lineRule="auto" w:line="228"/>
        <w:ind w:left="5670" w:right="0" w:hanging="0"/>
        <w:jc w:val="center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ConsPlusNormal"/>
        <w:spacing w:lineRule="auto" w:line="228"/>
        <w:ind w:left="5670" w:right="0" w:hanging="0"/>
        <w:jc w:val="center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«Тереньгульский район»</w:t>
      </w:r>
    </w:p>
    <w:p>
      <w:pPr>
        <w:pStyle w:val="ConsPlusNormal"/>
        <w:spacing w:lineRule="auto" w:line="228"/>
        <w:ind w:left="5670" w:right="0" w:hanging="0"/>
        <w:jc w:val="center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Ульяновской области</w:t>
      </w:r>
    </w:p>
    <w:p>
      <w:pPr>
        <w:pStyle w:val="ConsPlusNormal"/>
        <w:spacing w:lineRule="auto" w:line="228"/>
        <w:ind w:left="5670" w:right="0" w:hanging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ConsPlusNormal"/>
        <w:spacing w:lineRule="auto" w:line="228"/>
        <w:ind w:left="5670" w:right="0" w:hanging="0"/>
        <w:jc w:val="center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от 27.02.2025 №87</w:t>
      </w:r>
    </w:p>
    <w:p>
      <w:pPr>
        <w:pStyle w:val="ConsPlusNormal"/>
        <w:spacing w:lineRule="auto" w:line="228"/>
        <w:ind w:left="5670" w:right="0" w:hanging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28"/>
        <w:ind w:left="0" w:right="0"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28"/>
        <w:ind w:left="0" w:right="0"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28"/>
        <w:ind w:left="0" w:right="0" w:hanging="0"/>
        <w:jc w:val="center"/>
        <w:rPr>
          <w:rFonts w:ascii="PT Astra Serif" w:hAnsi="PT Astra Serif" w:cs="PT Astra Serif"/>
          <w:sz w:val="28"/>
        </w:rPr>
      </w:pPr>
      <w:bookmarkStart w:id="0" w:name="Par35"/>
      <w:bookmarkStart w:id="1" w:name="Par40"/>
      <w:bookmarkStart w:id="2" w:name="Par12"/>
      <w:bookmarkEnd w:id="0"/>
      <w:bookmarkEnd w:id="1"/>
      <w:bookmarkEnd w:id="2"/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 xml:space="preserve">ПОЛОЖЕНИЕ </w:t>
      </w:r>
    </w:p>
    <w:p>
      <w:pPr>
        <w:pStyle w:val="Normal"/>
        <w:widowControl w:val="false"/>
        <w:spacing w:lineRule="auto" w:line="228"/>
        <w:ind w:left="0" w:right="0" w:hanging="0"/>
        <w:jc w:val="center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>о порядке осуществления ведомственного контроля в сфере закупок для обеспечения муниципальных нужд муниципального образования        «Тереньгульский район» Ульяновской области</w:t>
      </w:r>
    </w:p>
    <w:p>
      <w:pPr>
        <w:pStyle w:val="Normal"/>
        <w:widowControl w:val="false"/>
        <w:spacing w:lineRule="auto" w:line="228"/>
        <w:ind w:left="0" w:right="0" w:hanging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28"/>
        <w:ind w:left="0" w:right="0" w:hanging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1. Настоящее Положение устанавливает порядок осуществления муниципальными органами муниципального образования «Тереньгульский район» Ульяновской области ведомственного контроля (далее – органы ведомственного контроля) в сфере закупок товаров, работ, услуг для обеспечения муниципальных нужд муниципального образования «Тереньгульский район» Ульяновской области (далее –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 системе в сфере закупок) в отношении подведомственных им заказчиков (далее – заказчик).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bookmarkStart w:id="3" w:name="Par41"/>
      <w:bookmarkEnd w:id="3"/>
      <w:r>
        <w:rPr>
          <w:rFonts w:cs="PT Astra Serif" w:ascii="PT Astra Serif" w:hAnsi="PT Astra Serif"/>
          <w:color w:val="000000"/>
          <w:sz w:val="28"/>
          <w:szCs w:val="28"/>
        </w:rPr>
        <w:t>б) соблюдения требований к обоснованию закупок и обоснованности закупок;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bookmarkStart w:id="4" w:name="Par46"/>
      <w:bookmarkEnd w:id="4"/>
      <w:r>
        <w:rPr>
          <w:rFonts w:cs="PT Astra Serif" w:ascii="PT Astra Serif" w:hAnsi="PT Astra Serif"/>
          <w:color w:val="000000"/>
          <w:sz w:val="28"/>
          <w:szCs w:val="28"/>
        </w:rPr>
        <w:t>в) соблюдения требований о нормировании в сфере закупок;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bookmarkStart w:id="5" w:name="Par52"/>
      <w:bookmarkEnd w:id="5"/>
    </w:p>
    <w:p>
      <w:pPr>
        <w:sectPr>
          <w:footerReference w:type="default" r:id="rId3"/>
          <w:type w:val="nextPage"/>
          <w:pgSz w:w="11906" w:h="16838"/>
          <w:pgMar w:left="1701" w:right="567" w:header="0" w:top="1134" w:footer="709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д) соответствия информации об идентификационных кодах закупок и не 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sz w:val="28"/>
          <w:szCs w:val="28"/>
        </w:rPr>
        <w:t>превышения объёма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заключённых заказчиками;</w:t>
      </w:r>
      <w:bookmarkStart w:id="6" w:name="Par57"/>
      <w:bookmarkEnd w:id="6"/>
    </w:p>
    <w:p>
      <w:pPr>
        <w:pStyle w:val="Normal"/>
        <w:widowControl w:val="false"/>
        <w:shd w:fill="FFFFFF"/>
        <w:spacing w:before="0" w:after="150"/>
        <w:ind w:left="0" w:right="0" w:hanging="0"/>
        <w:contextualSpacing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          </w:t>
      </w:r>
      <w:r>
        <w:rPr>
          <w:rFonts w:cs="PT Astra Serif" w:ascii="PT Astra Serif" w:hAnsi="PT Astra Serif"/>
          <w:color w:val="000000"/>
          <w:sz w:val="28"/>
          <w:szCs w:val="28"/>
        </w:rPr>
        <w:t>е</w:t>
      </w:r>
      <w:r>
        <w:rPr>
          <w:rFonts w:cs="PT Astra Serif" w:ascii="PT Astra Serif" w:hAnsi="PT Astra Serif"/>
          <w:sz w:val="28"/>
          <w:szCs w:val="28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з) соблюдения требований по определению поставщика (подрядчика, исполнителя);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к) соответствия поставленного товара, выполненной работы (её результата) или оказанной услуги условиям контракта;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л) своевременности, полноты и достоверности отражения в документах учёта поставленного товара, выполненной работы (её результата) или оказанной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м)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4. Ведомственный контроль осуществляется в соответствии с регламентом, утверждённым органом ведомственного контроля (далее - регламент).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bookmarkStart w:id="7" w:name="Par70"/>
      <w:bookmarkEnd w:id="7"/>
      <w:r>
        <w:rPr>
          <w:rFonts w:cs="PT Astra Serif" w:ascii="PT Astra Serif" w:hAnsi="PT Astra Serif"/>
          <w:color w:val="000000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6. Ведомственный контроль осуществляется посредством проведения выездных или документарных мероприятий ведомственного контроля.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  <w:bookmarkStart w:id="8" w:name="Par931"/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9. Орган ведомственного контроля в течение 3 дней со дня принятия приказа (распоряжения) руководителя уведомляет заказчика о проведении мероприятия ведомственного контроля посредством направления ему уведомления о проведении такого мероприятия (далее – уведомление).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10. Уведомление должно содержать: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а) наименование заказчика, которому адресовано уведомление;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б) предмет мероприятия ведомственного контроля (проверяемые вопросы), в том числе период, за который проверяется деятельность заказчика;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в) вид мероприятия ведомственного контроля (выездное или документарное);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д) перечень должностных лиц, уполномоченных на проведение мероприятия ведомственного контроля;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е) запрос о предоставлении документов, информации, материальных средств, необходимых для проведения мероприятия ведомственного контроля;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продлён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а) на беспрепятственный доступ на территорию, в помещения, здания заказчика (в необходимых случаях на фотосъёмку, видеозапись, копирование документов) при предъявлении ими служебных удостоверений и уведомления с учётом требований </w:t>
      </w:r>
      <w:hyperlink r:id="rId4">
        <w:r>
          <w:rPr>
            <w:rFonts w:cs="PT Astra Serif" w:ascii="PT Astra Serif" w:hAnsi="PT Astra Serif"/>
            <w:color w:val="000000"/>
            <w:sz w:val="28"/>
            <w:szCs w:val="24"/>
            <w:u w:val="none"/>
          </w:rPr>
          <w:t>законодательства</w:t>
        </w:r>
      </w:hyperlink>
      <w:r>
        <w:rPr>
          <w:rFonts w:cs="PT Astra Serif" w:ascii="PT Astra Serif" w:hAnsi="PT Astra Serif"/>
          <w:color w:val="000000"/>
          <w:sz w:val="28"/>
          <w:szCs w:val="28"/>
        </w:rPr>
        <w:t xml:space="preserve"> Российской Федерации о защите государственной тайны (в случае проведения выездного мероприятия ведомственного контроля);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б) на истребование необходимых для проведения мероприятия ведомственного контроля документов с учётом требований законодательства Российской Федерации о защите государственной тайны;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bookmarkStart w:id="9" w:name="Par93"/>
      <w:bookmarkEnd w:id="9"/>
      <w:r>
        <w:rPr>
          <w:rFonts w:cs="PT Astra Serif" w:ascii="PT Astra Serif" w:hAnsi="PT Astra Serif"/>
          <w:color w:val="000000"/>
          <w:sz w:val="28"/>
          <w:szCs w:val="28"/>
        </w:rPr>
        <w:t>13. В течении 10 рабочих дней со дня завершения проведения мероприятия ведомственного контроля должностное лицо органа ведомственного контроля, ответственное за его проведение, составляет, подписывает и представляет руководителю органа ведомственного контроля или иному уполномоченному руководителем ведомственного контроля лицу акт проверки.</w:t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Орган ведомственного контроля не позднее 5 рабочих дней со дня подписания акта проверки направляет его копию заказчику.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В случае выявления в ходе проведения мероприятия ведомственного контроля нарушений должностные лица, уполномоченные на его проведение, в установленном регламентом порядке разрабатывают и утверждают план устранения выявленных нарушений.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План устранения нарушений направляется заказчику в течении 5 рабочих дней со дня его утверждения.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14. В случае выявления при проведении мероприятия ведомственного контроля действий (бездействия) заказчика, содержащих признаки административного правонарушения, материалы проверки не позднее 30 календарных дней со дня направления копии акта проверки заказчику подлежат направлению в федеральный орган исполнительной власти или исполнительный орган Ульяновской области,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 заказчика, содержащих признаки состава преступления, – в тот же срок в правоохранитеные органы.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15. Материалы, относящиеся к проведённым мероприятиям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указанных мероприятий, подлежат хранению органом ведомственного контроля в течение не менее чем трех лет.</w:t>
      </w:r>
    </w:p>
    <w:p>
      <w:pPr>
        <w:pStyle w:val="Normal"/>
        <w:widowControl w:val="false"/>
        <w:ind w:left="0" w:right="0" w:hanging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ind w:left="0" w:right="0" w:hanging="0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>__________________________</w:t>
      </w:r>
    </w:p>
    <w:p>
      <w:pPr>
        <w:pStyle w:val="Normal"/>
        <w:widowControl w:val="false"/>
        <w:ind w:left="0" w:right="0" w:hanging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outlineLvl w:val="0"/>
        <w:rPr>
          <w:rFonts w:ascii="PT Astra Serif" w:hAnsi="PT Astra Serif" w:cs="PT Astra Serif"/>
          <w:sz w:val="28"/>
        </w:rPr>
      </w:pPr>
      <w:r>
        <w:rPr/>
      </w:r>
      <w:bookmarkEnd w:id="8"/>
    </w:p>
    <w:sectPr>
      <w:footerReference w:type="default" r:id="rId5"/>
      <w:footerReference w:type="first" r:id="rId6"/>
      <w:type w:val="nextPage"/>
      <w:pgSz w:w="11906" w:h="16838"/>
      <w:pgMar w:left="1701" w:right="567" w:header="0" w:top="1134" w:footer="1134" w:bottom="1832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0058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widowControl/>
      <w:tabs>
        <w:tab w:val="clear" w:pos="4819"/>
        <w:tab w:val="clear" w:pos="9638"/>
        <w:tab w:val="center" w:pos="4677" w:leader="none"/>
        <w:tab w:val="right" w:pos="9355" w:leader="none"/>
      </w:tabs>
      <w:suppressAutoHyphens w:val="false"/>
      <w:bidi w:val="0"/>
      <w:ind w:left="0" w:right="0" w:hanging="0"/>
      <w:jc w:val="right"/>
      <w:textAlignment w:val="auto"/>
      <w:rPr>
        <w:rFonts w:ascii="Times New Roman" w:hAnsi="Times New Roman" w:eastAsia="Helvetica" w:cs="Times New Roman"/>
        <w:color w:val="auto"/>
        <w:kern w:val="2"/>
        <w:sz w:val="16"/>
        <w:szCs w:val="16"/>
        <w:lang w:val="ru-RU" w:eastAsia="ru-RU" w:bidi="ar-SA"/>
      </w:rPr>
    </w:pPr>
    <w:r>
      <w:rPr>
        <w:rFonts w:eastAsia="Helvetica" w:cs="Times New Roman" w:ascii="Times New Roman" w:hAnsi="Times New Roman"/>
        <w:color w:val="auto"/>
        <w:kern w:val="2"/>
        <w:sz w:val="16"/>
        <w:szCs w:val="16"/>
        <w:lang w:val="ru-RU" w:eastAsia="ru-RU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0058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0c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1"/>
    <w:qFormat/>
    <w:rsid w:val="00726515"/>
    <w:pPr>
      <w:keepNext w:val="true"/>
      <w:tabs>
        <w:tab w:val="clear" w:pos="708"/>
        <w:tab w:val="left" w:pos="0" w:leader="none"/>
      </w:tabs>
      <w:suppressAutoHyphens w:val="true"/>
      <w:jc w:val="center"/>
      <w:outlineLvl w:val="2"/>
    </w:pPr>
    <w:rPr>
      <w:rFonts w:ascii="Times New Roman" w:hAnsi="Times New Roman" w:eastAsia="Times New Roman"/>
      <w:sz w:val="28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f0dcb"/>
    <w:rPr>
      <w:rFonts w:ascii="Tahoma" w:hAnsi="Tahoma" w:eastAsia="Calibri" w:cs="Tahoma"/>
      <w:sz w:val="16"/>
      <w:szCs w:val="16"/>
    </w:rPr>
  </w:style>
  <w:style w:type="character" w:styleId="Style14" w:customStyle="1">
    <w:name w:val="Основной текст Знак"/>
    <w:basedOn w:val="DefaultParagraphFont"/>
    <w:qFormat/>
    <w:rsid w:val="00a762cd"/>
    <w:rPr>
      <w:rFonts w:ascii="Arial" w:hAnsi="Arial" w:eastAsia="Lucida Sans Unicode" w:cs="Times New Roman"/>
      <w:kern w:val="2"/>
      <w:sz w:val="20"/>
      <w:szCs w:val="24"/>
      <w:lang w:eastAsia="ar-SA"/>
    </w:rPr>
  </w:style>
  <w:style w:type="character" w:styleId="31" w:customStyle="1">
    <w:name w:val="Заголовок 3 Знак"/>
    <w:basedOn w:val="DefaultParagraphFont"/>
    <w:qFormat/>
    <w:rsid w:val="00726515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Style15">
    <w:name w:val="Интернет-ссылка"/>
    <w:basedOn w:val="DefaultParagraphFont"/>
    <w:uiPriority w:val="99"/>
    <w:unhideWhenUsed/>
    <w:rsid w:val="00cd38c8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665a46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a762cd"/>
    <w:pPr>
      <w:widowControl w:val="false"/>
      <w:suppressAutoHyphens w:val="true"/>
      <w:spacing w:before="0" w:after="120"/>
    </w:pPr>
    <w:rPr>
      <w:rFonts w:ascii="Arial" w:hAnsi="Arial" w:eastAsia="Lucida Sans Unicode"/>
      <w:kern w:val="2"/>
      <w:sz w:val="20"/>
      <w:szCs w:val="24"/>
      <w:lang w:eastAsia="ar-SA"/>
    </w:rPr>
  </w:style>
  <w:style w:type="paragraph" w:styleId="Style18">
    <w:name w:val="List"/>
    <w:basedOn w:val="Style17"/>
    <w:pPr/>
    <w:rPr>
      <w:rFonts w:ascii="PT Astra Serif" w:hAnsi="PT Astra Serif" w:cs="Arial"/>
      <w:sz w:val="24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Arial"/>
      <w:sz w:val="24"/>
      <w:lang w:val="zxx" w:eastAsia="zxx" w:bidi="zxx"/>
    </w:rPr>
  </w:style>
  <w:style w:type="paragraph" w:styleId="NoSpacing">
    <w:name w:val="No Spacing"/>
    <w:uiPriority w:val="1"/>
    <w:qFormat/>
    <w:rsid w:val="009275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f0dc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22ff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a75a3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73d8c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consultantplus://offline/ref=6B4DA89E0364698101005A432D394B883DDDE75690B26FEE3F2BAA11k4FEE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07BF-9112-408A-8E0F-24B1A6BE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LibreOffice/7.0.6.2$Linux_X86_64 LibreOffice_project/00$Build-2</Application>
  <AppVersion>15.0000</AppVersion>
  <Pages>5</Pages>
  <Words>1134</Words>
  <Characters>8783</Characters>
  <CharactersWithSpaces>10152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2024-11-26T10:13:00Z</dcterms:created>
  <dc:creator>USER</dc:creator>
  <dc:description/>
  <dc:language>ru-RU</dc:language>
  <cp:lastModifiedBy/>
  <cp:lastPrinted>2025-02-26T13:29:38Z</cp:lastPrinted>
  <dcterms:modified xsi:type="dcterms:W3CDTF">2025-02-28T10:45:48Z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-97912780</vt:i4>
  </property>
</Properties>
</file>