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C9211E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>
          <w:color w:val="C9211E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на 2025год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700" w:type="dxa"/>
        <w:jc w:val="left"/>
        <w:tblInd w:w="-15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633"/>
        <w:gridCol w:w="2167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ind w:left="360" w:right="0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2024 год и подготовка заключения по представленным материалам.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2024 год по представленным материалам.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2024 год по представленным материалам.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2024 год по представленным материалам.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2024 год по представленным материалам.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2024 год по представленным материалам.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2024 год по представленным материалам.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2026 год по представленным материалам.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2026год по представленным материалам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«Белогорское сельское поселение» на 2026 год по представленным материалам.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2026 год по представленным материалам.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2026 год по представленным материалам.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2026год по представленным материалам.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«Тереньгульское городское поселение» на 2026 год по представленным материалам.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1.16.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</w:tr>
      <w:tr>
        <w:trPr>
          <w:trHeight w:val="38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0"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81D41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  в рамках реализации федерального проекта</w:t>
            </w:r>
            <w:bookmarkStart w:id="0" w:name="__DdeLink__801_140839756421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«Точка роста» в муниципальном общеобразовательном учреждении "Тереньгульский лицей при УлГТУ" муниципального образования "Тереньгульский район" Ульяновской области.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81D41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81D41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  в рамках реализации федерального проекта</w:t>
            </w:r>
            <w:bookmarkStart w:id="1" w:name="__DdeLink__801_1408397564111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«Цифровая образовательная среда» в муниципальном общеобразовательном учреждении "Солдатскоташлинская средняя общеобразовательная школа" муниципального образования "Тереньгульский район" Ульяновской области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81D41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79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81D41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  в рамках реализации федерального проекта «Успех каждого ребёнка» в муниципальном общеобразовательном учреждении "Михайловская средняя общеобразовательная школа" муниципального образования "Тереньгульский район" Ульяновской области, в муниципальном общеобразовательном учреждении "Тереньгульский лицей при УлГТУ" муниципального образования "Тереньгульский район" Ульяновской области.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81D41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достоверности отчёта и достижения показателей результативности муниципальной программы «Развитие малого и среднего предпринимательства в муниципальном образовании «Тереньгульский район»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достоверности отчёта и достижении показателей результативности муниципальной программы «Поддержка и развитие пассажирского автомобильного транспорта общего пользования на территории муниципального образования   «Тереньгульский район»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1-2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hanging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реализации проектов развития муниципального образования подготовленных на основе местных инициатив граждан, ограждение кладбища в  Михайловское сельское поселение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(по соглашению сторон)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hanging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реализации проектов развития муниципального образования подготовленных на основе местных инициатив граждан, ограждение кладбища в р.п. Тереньга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hanging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реализации проектов развития муниципального образования подготовленных на основе местных инициатив граждан, муниципальное учреждение культуры "Культурно-досуговый центр" муниципального образования «Подкуровское сельское поселение"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(по соглашению сторон)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исполнения  части полномочий по содержанию автомобильных дорог местного значения в границах населенных пунктов Белогорского сельского поселения (по соглашению сторон)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2-3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отдельных вопросов финансово- хозяйственной деятельности Муниципальное учреждение культуры "Межпоселенческая библиотека" муниципального образования "Тереньгульский район" Тереньгульского района Ульяновской области.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отдельных вопросов финансово- хозяйственной деятельности Муниципальное учреждение отдел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Проверка осуществления расходов на обеспечение выполнения функций казённого учреждения и их отражения в бюджетном учёте и отчётности в  муниципальном образовании «Михайловское  сельское поселение» (по соглашению сторон).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3-4 квартал</w:t>
            </w:r>
          </w:p>
        </w:tc>
      </w:tr>
      <w:tr>
        <w:trPr>
          <w:trHeight w:val="67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Проверка осуществления расходов на обеспечение выполнения функций казённого учреждения и их отражения в бюджетном учёте и отчётности в  муниципальном учреждении «Техническое обслуживание»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«Тереньгульский район» за 2024 год.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3.14.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1квартал, 2 квартал, 3 квартал.</w:t>
            </w:r>
          </w:p>
        </w:tc>
      </w:tr>
      <w:tr>
        <w:trPr>
          <w:trHeight w:val="1022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3.15.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2026год.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25.12.2024г.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Application>LibreOffice/6.2.8.2$Linux_X86_64 LibreOffice_project/20$Build-2</Application>
  <Pages>5</Pages>
  <Words>869</Words>
  <Characters>6911</Characters>
  <CharactersWithSpaces>7771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2024-12-25T08:37:27Z</cp:lastPrinted>
  <dcterms:modified xsi:type="dcterms:W3CDTF">2024-12-25T10:26:07Z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