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bookmarkStart w:id="0" w:name="_GoBack"/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Заключение (мотивированное)</w:t>
      </w:r>
    </w:p>
    <w:p>
      <w:pPr>
        <w:pStyle w:val="ConsPlusTitle"/>
        <w:jc w:val="center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о результатах общественных обсуждений проектов </w:t>
      </w:r>
    </w:p>
    <w:p>
      <w:pPr>
        <w:pStyle w:val="ConsPlusTitle"/>
        <w:jc w:val="center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Программ профилактики рисков причинения вреда (ущерба) охраняемым законом ценностям при осуществлении муниципального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жилищного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муниципальных образований «Тереньгульское городское поселение» и «Тереньгульский район» Ульяновской области на 2025 год.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br/>
      </w:r>
      <w:bookmarkEnd w:id="0"/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</w:p>
    <w:p>
      <w:pPr>
        <w:pStyle w:val="ConsPlusTitle"/>
        <w:jc w:val="center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В рамках реализации положений Федерального закона от 31 июля 2020       № 248-ФЗ «О государственном контроле (надзоре) и муниципальном контроле в Российской Федерации» </w:t>
      </w:r>
      <w:r>
        <w:rPr>
          <w:rFonts w:eastAsia="Calibri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муниципальным образованием «Тереньгульский район»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подготовлены проекты Программ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Calibri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жилищного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муниципальных образований «Тереньгульское городское поселение» и «Тереньгульский район» Ульяновской области на 2025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«Тереньгульский район» Ульяновской области в разделе «Муниципальный контроль» в информационно- телекоммуникационной сети 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Общественные обсуждения по проектам Программ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Calibri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en-US" w:bidi="ar-SA"/>
        </w:rPr>
        <w:t>жилищного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контроля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муниципальных образований «Тереньгульское городское поселение» и «Тереньгульский район» Ульяновской области на 2025 год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проводились в период с «01» октября 2024 по «01» ноября 2024 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>В период проведения общественного обсуждения по проекту нормативного правового акта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жилищного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контроля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муниципального образования «Тереньгульский район» Ульяновской области на 2025 год» и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по проекту нормативного правового акта «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жилищного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контроля на территории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kern w:val="2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муниципального образования «Тереньгульское городское поселение» Тереньгульского района Ульяновской области на 2025 год» 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замечаний и предложений </w:t>
      </w:r>
      <w:bookmarkStart w:id="1" w:name="_Hlk86757530"/>
      <w:bookmarkEnd w:id="1"/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не поступало.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b w:val="false"/>
          <w:b w:val="false"/>
          <w:bCs w:val="false"/>
          <w:color w:val="auto"/>
          <w:sz w:val="28"/>
          <w:szCs w:val="28"/>
          <w:shd w:fill="auto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b w:val="false"/>
          <w:bCs/>
          <w:sz w:val="28"/>
          <w:szCs w:val="28"/>
        </w:rPr>
        <w:t xml:space="preserve"> </w:t>
      </w:r>
    </w:p>
    <w:tbl>
      <w:tblPr>
        <w:tblW w:w="96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967"/>
        <w:gridCol w:w="4680"/>
      </w:tblGrid>
      <w:tr>
        <w:trPr>
          <w:trHeight w:val="764" w:hRule="atLeast"/>
        </w:trPr>
        <w:tc>
          <w:tcPr>
            <w:tcW w:w="49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Заместитель Главы — начальник управления ТЭР, ЖКХ администрации муниципального образования «Тереньгульский район»</w:t>
            </w:r>
          </w:p>
        </w:tc>
        <w:tc>
          <w:tcPr>
            <w:tcW w:w="46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PT Astra Serif" w:hAnsi="PT Astra Serif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PT Astra Serif" w:hAnsi="PT Astra Serif"/>
                <w:color w:val="auto"/>
                <w:kern w:val="0"/>
                <w:sz w:val="28"/>
                <w:szCs w:val="28"/>
                <w:lang w:val="ru-RU" w:eastAsia="en-US" w:bidi="ar-SA"/>
              </w:rPr>
              <w:t>С.С.Корытин</w:t>
            </w:r>
          </w:p>
        </w:tc>
      </w:tr>
    </w:tbl>
    <w:p>
      <w:pPr>
        <w:pStyle w:val="Normal"/>
        <w:spacing w:before="0" w:after="0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134" w:right="851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4c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c4c9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6c4c96"/>
    <w:pPr>
      <w:spacing w:lineRule="auto" w:line="288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6c4c96"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9243c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c0434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LibreOffice/7.0.6.2$Linux_X86_64 LibreOffice_project/00$Build-2</Application>
  <AppVersion>15.0000</AppVersion>
  <Pages>1</Pages>
  <Words>255</Words>
  <Characters>2058</Characters>
  <CharactersWithSpaces>2318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2024-12-10T06:13:00Z</dcterms:created>
  <dc:creator>Администрация Ингалинская</dc:creator>
  <dc:description/>
  <dc:language>ru-RU</dc:language>
  <cp:lastModifiedBy/>
  <cp:lastPrinted>2024-12-13T14:58:45Z</cp:lastPrinted>
  <dcterms:modified xsi:type="dcterms:W3CDTF">2025-01-20T08:31:59Z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