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>28 декабря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</w:rPr>
        <w:t>2023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637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17.03.2023 №  106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17.03.2023 № 106 «Об утверждении муниципальной программы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  следующие изменения: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ab/>
        <w:t>1.1. Строку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ab/>
        <w:t>«Объем финансирования из бюджета муниципального образования «Тереньгульский район» (далее – бюджет муниципального образования) составит 1940,0 тыс.рублей, в том числе по годам: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15,0 тыс.</w:t>
      </w:r>
      <w:r>
        <w:rPr>
          <w:rFonts w:cs="PT Astra Serif" w:ascii="PT Astra Serif" w:hAnsi="PT Astra Serif"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2024 год – 105,0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2025 год – 130,0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2026 год – 800,0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>2027 год-   890,0 тыс. рублей.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1.2. </w:t>
      </w:r>
      <w:r>
        <w:rPr>
          <w:rFonts w:cs="PT Astra Serif" w:ascii="PT Astra Serif" w:hAnsi="PT Astra Serif"/>
        </w:rPr>
        <w:t>Приложение №2 к муниципальной программе изложить в следующей редакции:</w:t>
      </w:r>
    </w:p>
    <w:p>
      <w:pPr>
        <w:pStyle w:val="Normal"/>
        <w:ind w:left="0" w:right="0" w:firstLine="972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Приложение № 2</w:t>
      </w:r>
    </w:p>
    <w:p>
      <w:pPr>
        <w:pStyle w:val="Normal"/>
        <w:ind w:left="0" w:right="0" w:firstLine="9720"/>
        <w:jc w:val="right"/>
        <w:rPr/>
      </w:pPr>
      <w:r>
        <w:rPr>
          <w:rFonts w:eastAsia="PT Astra Serif" w:cs="PT Astra Serif" w:ascii="PT Astra Serif" w:hAnsi="PT Astra Serif"/>
          <w:b w:val="false"/>
          <w:bCs w:val="false"/>
        </w:rPr>
        <w:t xml:space="preserve"> </w:t>
      </w: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«Организация и осуществление мероприятий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по гражданской обороне,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защите населения и территории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муниципального образования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«Тереньгульский район» от чрезвычайных ситуаций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60"/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>природного и техногенного характера»</w:t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Система мероприятий муниципальной программы муниципального образования </w:t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«Тереньгульский район» Ульяновской области </w:t>
      </w:r>
    </w:p>
    <w:p>
      <w:pPr>
        <w:pStyle w:val="Normal"/>
        <w:spacing w:before="0" w:after="60"/>
        <w:ind w:left="0" w:right="0" w:firstLine="709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«</w:t>
      </w:r>
      <w:r>
        <w:rPr>
          <w:rFonts w:cs="PT Astra Serif" w:ascii="PT Astra Serif" w:hAnsi="PT Astra Serif"/>
          <w:b/>
          <w:bCs/>
          <w:color w:val="000000"/>
          <w:spacing w:val="10"/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</w:t>
      </w:r>
    </w:p>
    <w:p>
      <w:pPr>
        <w:pStyle w:val="Normal"/>
        <w:spacing w:before="0" w:after="60"/>
        <w:ind w:left="0" w:right="0" w:firstLine="709"/>
        <w:jc w:val="center"/>
        <w:rPr/>
      </w:pPr>
      <w:r>
        <w:rPr/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15275" w:type="dxa"/>
        <w:jc w:val="left"/>
        <w:tblInd w:w="-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1417"/>
        <w:gridCol w:w="1560"/>
        <w:gridCol w:w="849"/>
        <w:gridCol w:w="851"/>
        <w:gridCol w:w="568"/>
        <w:gridCol w:w="709"/>
        <w:gridCol w:w="3542"/>
        <w:gridCol w:w="709"/>
        <w:gridCol w:w="851"/>
        <w:gridCol w:w="709"/>
        <w:gridCol w:w="707"/>
        <w:gridCol w:w="710"/>
        <w:gridCol w:w="709"/>
        <w:gridCol w:w="816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4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 год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28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Отдел по делам ГО и ЧС  и взаимодействию с правоохранительными органами муниципального образования «Тереньгульский район» Ульяновской области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27.03.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130,0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технических средств оповещения населения в сельских поселениях (рупоры, сирены электрические, или сирены механические).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  <w:highlight w:val="red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Запасы мобильных технических средств оповещения населения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Предоставление межбюджетных трансфертов поселениям муниципального образования «Тереньгульский район» в полном объёме от утверждённых плановых назначений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Обеспечение безопасности людей на водных объектах, предотвращение несчастных случаев на водоемах (в том числе: патрулирование, изготовление планшетов, изготовление и приобретение аншлагов о запрете купания в не оборудованных местах для купания)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80,0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80,0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Обновление автоматизированной информационной системы ЕДДС (обслуживание оборудования, замена комплектующих)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555,0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Оснащение материально-технической базы (баннеры, буклеты)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195,0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Аттестация аварийно-спасательных формирований (служб) (информационный материал, канцтовары)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и эксплуатация аварийно-спасательного оборудования и технических средств специальной разведки. Проведение лабораторных испытаний средств индивидуальной защиты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мобильных средств связи (FM-радиостанции) для поселений района в целях организации связи, взаимодействия со службами РСЧС,  в связи с наступлением чрезвычайной ситуации, или угрозы ее возникновения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Обеспечение средствами индивидуальной защиты работников администрации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</w:tr>
      <w:tr>
        <w:trPr/>
        <w:tc>
          <w:tcPr>
            <w:tcW w:w="100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1940,0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15,0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105,0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800,0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890,0</w:t>
            </w:r>
          </w:p>
        </w:tc>
      </w:tr>
      <w:tr>
        <w:trPr/>
        <w:tc>
          <w:tcPr>
            <w:tcW w:w="1006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1940,0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15,0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105,0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800,0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890,0</w:t>
            </w:r>
          </w:p>
        </w:tc>
      </w:tr>
      <w:tr>
        <w:trPr/>
        <w:tc>
          <w:tcPr>
            <w:tcW w:w="100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eastAsia="Times New Roman CYR" w:cs="PT Astra Serif" w:ascii="PT Astra Serif" w:hAnsi="PT Astra Serif"/>
          <w:color w:val="000000"/>
          <w:szCs w:val="28"/>
        </w:rPr>
        <w:t>Примечание: денежные средства могут перемещаться между мероприятиями.</w:t>
      </w:r>
    </w:p>
    <w:p>
      <w:pPr>
        <w:pStyle w:val="Normal"/>
        <w:shd w:val="clear" w:color="auto" w:fill="FFFFFF"/>
        <w:ind w:left="5529" w:hanging="0"/>
        <w:jc w:val="right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eastAsia="Times New Roman CYR" w:cs="PT Astra Serif" w:ascii="PT Astra Serif" w:hAnsi="PT Astra Serif"/>
          <w:color w:val="000000"/>
          <w:szCs w:val="28"/>
        </w:rPr>
      </w:r>
    </w:p>
    <w:p>
      <w:pPr>
        <w:pStyle w:val="Normal"/>
        <w:shd w:val="clear" w:color="auto" w:fill="FFFFFF"/>
        <w:ind w:left="5529" w:hanging="0"/>
        <w:jc w:val="right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eastAsia="Times New Roman CYR" w:cs="PT Astra Serif" w:ascii="PT Astra Serif" w:hAnsi="PT Astra Serif"/>
          <w:color w:val="000000"/>
          <w:szCs w:val="28"/>
        </w:rPr>
      </w:r>
    </w:p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shd w:val="clear" w:color="auto" w:fill="FFFFFF"/>
        <w:ind w:left="5529" w:hanging="0"/>
        <w:jc w:val="right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eastAsia="Times New Roman CYR" w:cs="PT Astra Serif" w:ascii="PT Astra Serif" w:hAnsi="PT Astra Serif"/>
          <w:color w:val="000000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-964" w:hanging="0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cs="PT Astra Serif" w:ascii="PT Astra Serif" w:hAnsi="PT Astra Serif"/>
          <w:bCs/>
        </w:rPr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widowControl/>
        <w:suppressAutoHyphens w:val="true"/>
        <w:bidi w:val="0"/>
        <w:spacing w:lineRule="auto" w:line="204" w:before="0" w:after="0"/>
        <w:ind w:left="0" w:right="-1020" w:hanging="0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/>
        <w:t xml:space="preserve">   </w:t>
      </w:r>
      <w:r>
        <w:rPr/>
        <w:t>«Тереньгульский район»</w:t>
        <w:tab/>
        <w:tab/>
        <w:tab/>
        <w:tab/>
        <w:t xml:space="preserve">                                       Г.А. Шерстнев</w:t>
      </w:r>
    </w:p>
    <w:p>
      <w:pPr>
        <w:pStyle w:val="Normal"/>
        <w:shd w:val="clear" w:color="auto" w:fill="FFFFFF"/>
        <w:ind w:left="5529" w:hanging="0"/>
        <w:jc w:val="right"/>
        <w:rPr>
          <w:rFonts w:ascii="PT Astra Serif" w:hAnsi="PT Astra Serif" w:eastAsia="Times New Roman CYR" w:cs="PT Astra Serif"/>
          <w:color w:val="000000"/>
          <w:kern w:val="2"/>
          <w:sz w:val="24"/>
          <w:szCs w:val="28"/>
          <w:lang w:bidi="hi-IN"/>
        </w:rPr>
      </w:pPr>
      <w:r>
        <w:rPr>
          <w:rFonts w:eastAsia="Times New Roman CYR" w:cs="PT Astra Serif" w:ascii="PT Astra Serif" w:hAnsi="PT Astra Serif"/>
          <w:color w:val="000000"/>
          <w:kern w:val="2"/>
          <w:sz w:val="24"/>
          <w:szCs w:val="28"/>
          <w:lang w:bidi="hi-IN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eastAsia="Times New Roman CYR" w:cs="PT Astra Serif"/>
          <w:color w:val="000000"/>
          <w:szCs w:val="28"/>
        </w:rPr>
      </w:pPr>
      <w:r>
        <w:rPr/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9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f0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 w:customStyle="1">
    <w:name w:val="Заголовок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2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5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ConsPlusNormal1">
    <w:name w:val="&#9;&#9;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CC99-EF86-4B78-A3BC-49C36C87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Application>LibreOffice/7.0.6.2$Linux_X86_64 LibreOffice_project/00$Build-2</Application>
  <AppVersion>15.0000</AppVersion>
  <Pages>10</Pages>
  <Words>696</Words>
  <Characters>4770</Characters>
  <CharactersWithSpaces>5396</CharactersWithSpaces>
  <Paragraphs>202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2021-11-19T12:23:00Z</dcterms:created>
  <dc:creator>User</dc:creator>
  <dc:description/>
  <dc:language>ru-RU</dc:language>
  <cp:lastModifiedBy/>
  <cp:lastPrinted>2023-12-13T14:45:57Z</cp:lastPrinted>
  <dcterms:modified xsi:type="dcterms:W3CDTF">2024-01-11T16:26:23Z</dcterms:modified>
  <cp:revision>26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