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>28 декабря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</w:rPr>
        <w:t>2023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              </w:t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636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14.09.2021 № 405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14.09.2021 № 405 «Об утверждении муниципальной программы «Комплексные меры по профилактике правонарушений на территории муниципального образования «Тереньгульский район» следующие изменения: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1.1. Строку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«Объем финансирования из бюджета муниципального образования «Тереньгульский район» (далее – бюджет муниципального образования) составит 1010,9371 тыс.рублей, в том числе по годам: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2022 год – 121,62848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146,30862 тыс.</w:t>
      </w:r>
      <w:r>
        <w:rPr>
          <w:rFonts w:cs="PT Astra Serif" w:ascii="PT Astra Serif" w:hAnsi="PT Astra Serif"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2024 год – 207,</w:t>
      </w:r>
      <w:r>
        <w:rPr>
          <w:rFonts w:cs="PT Astra Serif" w:ascii="PT Astra Serif" w:hAnsi="PT Astra Serif"/>
          <w:bCs/>
          <w:szCs w:val="28"/>
        </w:rPr>
        <w:t>0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2025 год – 229,</w:t>
      </w:r>
      <w:r>
        <w:rPr>
          <w:rFonts w:cs="PT Astra Serif" w:ascii="PT Astra Serif" w:hAnsi="PT Astra Serif"/>
          <w:bCs/>
          <w:szCs w:val="28"/>
        </w:rPr>
        <w:t>0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/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2026 год – 307,</w:t>
      </w:r>
      <w:r>
        <w:rPr>
          <w:rFonts w:cs="PT Astra Serif" w:ascii="PT Astra Serif" w:hAnsi="PT Astra Serif"/>
          <w:bCs/>
          <w:szCs w:val="28"/>
        </w:rPr>
        <w:t>0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рублей».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/>
      </w:pPr>
      <w:r>
        <w:rPr>
          <w:szCs w:val="28"/>
        </w:rPr>
        <w:tab/>
        <w:t xml:space="preserve">1.2. </w:t>
      </w:r>
      <w:r>
        <w:rPr>
          <w:rFonts w:cs="PT Astra Serif" w:ascii="PT Astra Serif" w:hAnsi="PT Astra Serif"/>
        </w:rPr>
        <w:t>Приложение №2 к муниципальной программе изложить в следующей редакции:</w:t>
      </w:r>
    </w:p>
    <w:p>
      <w:pPr>
        <w:pStyle w:val="Normal"/>
        <w:shd w:val="clear" w:color="auto" w:fill="FFFFFF"/>
        <w:ind w:left="5529" w:hanging="0"/>
        <w:jc w:val="right"/>
        <w:rPr/>
      </w:pPr>
      <w:r>
        <w:rPr>
          <w:rFonts w:eastAsia="Times New Roman CYR" w:cs="PT Astra Serif" w:ascii="PT Astra Serif" w:hAnsi="PT Astra Serif"/>
          <w:color w:val="000000"/>
          <w:szCs w:val="28"/>
        </w:rPr>
        <w:t xml:space="preserve">«ПРИЛОЖЕНИЕ </w:t>
      </w:r>
      <w:r>
        <w:rPr>
          <w:rFonts w:eastAsia="Times New Roman CYR" w:cs="PT Astra Serif" w:ascii="PT Astra Serif" w:hAnsi="PT Astra Serif"/>
          <w:color w:val="000000"/>
          <w:kern w:val="2"/>
          <w:sz w:val="24"/>
          <w:szCs w:val="28"/>
          <w:lang w:bidi="hi-IN"/>
        </w:rPr>
        <w:t>№2</w:t>
      </w:r>
    </w:p>
    <w:p>
      <w:pPr>
        <w:pStyle w:val="Normal"/>
        <w:ind w:left="5529" w:hanging="0"/>
        <w:jc w:val="right"/>
        <w:rPr/>
      </w:pPr>
      <w:r>
        <w:rPr>
          <w:rFonts w:eastAsia="Times New Roman CYR" w:cs="PT Astra Serif" w:ascii="PT Astra Serif" w:hAnsi="PT Astra Serif"/>
          <w:color w:val="000000"/>
          <w:szCs w:val="28"/>
        </w:rPr>
        <w:t>к муниципальной программе</w:t>
      </w:r>
    </w:p>
    <w:p>
      <w:pPr>
        <w:pStyle w:val="Normal"/>
        <w:jc w:val="center"/>
        <w:rPr>
          <w:rFonts w:ascii="PT Astra Serif" w:hAnsi="PT Astra Serif" w:eastAsia="Times New Roman CYR" w:cs="PT Astra Serif"/>
          <w:b/>
          <w:b/>
          <w:bCs/>
          <w:color w:val="000000"/>
          <w:szCs w:val="28"/>
        </w:rPr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</w:r>
    </w:p>
    <w:p>
      <w:pPr>
        <w:pStyle w:val="Normal"/>
        <w:jc w:val="center"/>
        <w:rPr/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  <w:t>Система мероприятий муниципальной программы</w:t>
      </w:r>
    </w:p>
    <w:p>
      <w:pPr>
        <w:pStyle w:val="Normal"/>
        <w:snapToGrid w:val="false"/>
        <w:jc w:val="center"/>
        <w:rPr/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  <w:t xml:space="preserve">«Комплексные меры по профилактике правонарушений на </w:t>
      </w:r>
    </w:p>
    <w:p>
      <w:pPr>
        <w:pStyle w:val="Normal"/>
        <w:snapToGrid w:val="false"/>
        <w:jc w:val="center"/>
        <w:rPr/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  <w:t>территории муниципального образования «Тереньгульский район»</w:t>
      </w:r>
    </w:p>
    <w:p>
      <w:pPr>
        <w:pStyle w:val="Normal"/>
        <w:jc w:val="both"/>
        <w:rPr>
          <w:rFonts w:ascii="PT Astra Serif" w:hAnsi="PT Astra Serif" w:eastAsia="Times New Roman CYR" w:cs="PT Astra Serif"/>
          <w:b/>
          <w:b/>
          <w:bCs/>
          <w:color w:val="000000"/>
          <w:szCs w:val="28"/>
        </w:rPr>
      </w:pPr>
      <w:r>
        <w:rPr>
          <w:rFonts w:eastAsia="Times New Roman CYR" w:cs="PT Astra Serif" w:ascii="PT Astra Serif" w:hAnsi="PT Astra Serif"/>
          <w:b/>
          <w:bCs/>
          <w:color w:val="000000"/>
          <w:szCs w:val="28"/>
        </w:rPr>
      </w:r>
    </w:p>
    <w:tbl>
      <w:tblPr>
        <w:tblW w:w="14575" w:type="dxa"/>
        <w:jc w:val="left"/>
        <w:tblInd w:w="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3556"/>
        <w:gridCol w:w="2880"/>
        <w:gridCol w:w="856"/>
        <w:gridCol w:w="854"/>
        <w:gridCol w:w="1590"/>
        <w:gridCol w:w="796"/>
        <w:gridCol w:w="689"/>
        <w:gridCol w:w="735"/>
        <w:gridCol w:w="676"/>
        <w:gridCol w:w="675"/>
        <w:gridCol w:w="804"/>
      </w:tblGrid>
      <w:tr>
        <w:trPr/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№</w:t>
            </w:r>
            <w:r>
              <w:rPr>
                <w:rFonts w:eastAsia="PT Astra Serif" w:cs="PT Astra Serif" w:ascii="PT Astra Serif" w:hAnsi="PT Astra Serif"/>
                <w:sz w:val="20"/>
              </w:rPr>
              <w:t xml:space="preserve">  </w:t>
            </w:r>
            <w:r>
              <w:rPr>
                <w:rFonts w:cs="PT Astra Serif" w:ascii="PT Astra Serif" w:hAnsi="PT Astra Serif"/>
                <w:sz w:val="20"/>
              </w:rPr>
              <w:t>п/п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Срок реализации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Источник финансового обеспечения</w:t>
            </w:r>
          </w:p>
        </w:tc>
        <w:tc>
          <w:tcPr>
            <w:tcW w:w="4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3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начала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окончания</w:t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2022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2023 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2024 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2025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2026 год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12</w:t>
            </w:r>
          </w:p>
        </w:tc>
      </w:tr>
      <w:tr>
        <w:trPr>
          <w:trHeight w:val="242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Задача программы: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вовлечение населения в деятельность по охране общественного порядка</w:t>
            </w:r>
          </w:p>
        </w:tc>
      </w:tr>
      <w:tr>
        <w:trPr>
          <w:trHeight w:val="2406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Оказание информационно-методической и материально-технической поддержки гражданам и их объединениям, участвующим в охране общественного порядка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jc w:val="both"/>
              <w:rPr>
                <w:rFonts w:ascii="PT Astra Serif" w:hAnsi="PT Astra Serif" w:cs="PT Astra Serif"/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Бюджетные ассигнования бюджета муниципального образования «Тереньгульский район» Ульяновской области (далее – местный бюджет)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139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Оказание содействия в материально-техническом обеспечении помещений для работы сотрудников, замещающих должности участкового уполномоченного полиции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8,0</w:t>
            </w:r>
          </w:p>
        </w:tc>
      </w:tr>
      <w:tr>
        <w:trPr>
          <w:trHeight w:val="139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</w:rPr>
              <w:t xml:space="preserve">Создание условий для деятельности добровольных народных дружин (приобретение материально-технических средств для осуществления деятельности: </w:t>
            </w:r>
            <w:r>
              <w:rPr>
                <w:rFonts w:cs="PT Astra Serif" w:ascii="PT Astra Serif" w:hAnsi="PT Astra Serif"/>
                <w:color w:val="000000"/>
              </w:rPr>
              <w:t>необходимой документации и юридической литературы, отличительных знаков)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3,0</w:t>
            </w:r>
          </w:p>
        </w:tc>
      </w:tr>
      <w:tr>
        <w:trPr>
          <w:trHeight w:val="139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left"/>
              <w:rPr/>
            </w:pPr>
            <w:r>
              <w:rPr>
                <w:rFonts w:cs="PT Astra Serif" w:ascii="PT Astra Serif" w:hAnsi="PT Astra Serif"/>
              </w:rPr>
              <w:t>Подготовка и размещение в установленном порядке социальной рекламы профилактики правонарушений в местных печатных СМИ и общественных местах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337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Задача программы: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профилактика преступлений и иных правонарушений, совершаемых несовершеннолетними</w:t>
            </w:r>
          </w:p>
        </w:tc>
      </w:tr>
      <w:tr>
        <w:trPr>
          <w:trHeight w:val="1073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  <w:lang w:eastAsia="ru-RU"/>
              </w:rPr>
              <w:t>Проведение с участием МО МВД России «Сенгилеевский» (по согласованию) комплекса мер по предупреждению детской безнадзорности и беспризорности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color w:val="000000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color w:val="000000"/>
                <w:w w:val="101"/>
                <w:sz w:val="20"/>
              </w:rPr>
              <w:t>Комиссия по делам несовершеннолетних и защите их прав при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6,0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1735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Организация правового просвещения среди несовершеннолетних. Проведение мероприятий, направленных на повышение уровня правовой культуры обучающихся, изучение основ права, формирование правового самосознания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6,0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60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Реализация мероприятий по военно-патриотическому воспитанию несовершеннолетних, допризывной подготовке молодежи, развитию военно-прикладных видов спорта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60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pacing w:val="1"/>
                <w:sz w:val="20"/>
              </w:rPr>
              <w:t xml:space="preserve">Обеспечение совместно с МО МВД России «Сенгилеевский» (по согласованию) дальнейшего развития  движения </w:t>
            </w:r>
            <w:r>
              <w:rPr>
                <w:rFonts w:eastAsia="Times New Roman CYR" w:cs="PT Astra Serif" w:ascii="PT Astra Serif" w:hAnsi="PT Astra Serif"/>
                <w:color w:val="000000"/>
                <w:spacing w:val="3"/>
                <w:sz w:val="20"/>
              </w:rPr>
              <w:t>юных инспекторов безопасности дорожного дви</w:t>
            </w: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жения:  Приобретение необходимой атрибутики, форменного обмундирования, светоотражающих значков. Проведение регионального конкурса «Безопасное колесо» с награждением победителей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135" w:hanging="0"/>
              <w:contextualSpacing/>
              <w:jc w:val="both"/>
              <w:rPr>
                <w:rFonts w:ascii="PT Astra Serif" w:hAnsi="PT Astra Serif" w:eastAsia="Times New Roman CYR" w:cs="PT Astra Serif"/>
                <w:color w:val="000000"/>
                <w:w w:val="101"/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60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pacing w:val="5"/>
                <w:sz w:val="20"/>
              </w:rPr>
              <w:t>Обеспечение временной занятости несовершеннолетних граждан в возрасте от 14 до 18 лет в каникулярное и свободное от учёбы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829,49348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119,49348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146,308 62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170,0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  <w:tr>
        <w:trPr>
          <w:trHeight w:val="312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Задача программы: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противодействие распространению наркомании, алкоголизма, табакокурения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color w:val="000000"/>
                <w:sz w:val="20"/>
              </w:rPr>
              <w:t>Организация и проведение с участием ГУЗ «Тереньгульская РБ» (по согласованию) профилактических мероприятий, направленных на сокращение объемов потребления населением алкогольной продукции, табакокурения, снижения заболеваемости наркоманией и алкоголизмом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Издание плакатов, буклетов, памяток о вреде алкоголя, наркотиков, табака, рассчитанных на различные возрастные и профессиональные группы населения (в том числе в электронном виде), а также изготовление рекламных баннеров по данной тематике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22,135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2,135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Организация и проведение профилактических мероприятий, направленных на формирование у несовершеннолетних здорового образа жизни, организацию активного досуга, профилактику правонарушений, алкоголизма, наркомании, употребления табака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6,0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286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PT Astra Serif" w:ascii="PT Astra Serif" w:hAnsi="PT Astra Serif"/>
                <w:lang w:eastAsia="ru-RU"/>
              </w:rPr>
              <w:t>Задача программы: с</w:t>
            </w:r>
            <w:r>
              <w:rPr>
                <w:rFonts w:eastAsia="Times New Roman CYR" w:cs="PT Astra Serif" w:ascii="PT Astra Serif" w:hAnsi="PT Astra Serif"/>
              </w:rPr>
              <w:t>оциальная адаптация мигрантов и лиц, освобожденных из мест лишения свободы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 xml:space="preserve">Реализация с участием </w:t>
            </w: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 xml:space="preserve">МО МВД России «Сенгилеевский» ( по согласованию) </w:t>
            </w:r>
            <w:r>
              <w:rPr>
                <w:rFonts w:eastAsia="Times New Roman CYR" w:cs="PT Astra Serif" w:ascii="PT Astra Serif" w:hAnsi="PT Astra Serif"/>
                <w:sz w:val="20"/>
              </w:rPr>
              <w:t>межведомственного взаимодействия по вопросам привлечения мигрантов, обеспечение их социальной адаптации, уважения ими традиций и обычаев местного населения, воспитание толерантного отношения к мигрантам в обществе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 xml:space="preserve">Оказание с участием </w:t>
            </w: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 xml:space="preserve">Тереньгульского межмуниципального филиала ФКУ УИИ УФСИН России по Ульяновской области ( по согласованию) </w:t>
            </w: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помощи лицам, освобождённым от отбывания  наказания в виде лишения свободы,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before="0" w:after="0"/>
              <w:contextualSpacing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sz w:val="20"/>
              </w:rPr>
              <w:t>и содействие их социальной реабилитации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ind w:right="135" w:hanging="0"/>
              <w:jc w:val="both"/>
              <w:rPr>
                <w:rFonts w:ascii="PT Astra Serif" w:hAnsi="PT Astra Serif" w:eastAsia="Times New Roman CYR" w:cs="PT Astra Serif"/>
                <w:color w:val="000000"/>
                <w:w w:val="101"/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312" w:hRule="atLeast"/>
        </w:trPr>
        <w:tc>
          <w:tcPr>
            <w:tcW w:w="14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PT Astra Serif" w:ascii="PT Astra Serif" w:hAnsi="PT Astra Serif"/>
              </w:rPr>
              <w:t>Задача программы: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разработка и реализация мероприятий по устранению причин и условий,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способствующих возникновению и распространению идеологии терроризма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  <w:lang w:eastAsia="ru-RU"/>
              </w:rPr>
              <w:t>Комплекс мер по противодействию распространению идеологии терроризма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Отдел образования муниципального образования «Тереньгульский район» (по согласованию)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ind w:right="-5" w:hanging="0"/>
              <w:contextualSpacing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color w:val="000000"/>
                <w:w w:val="101"/>
                <w:sz w:val="20"/>
              </w:rPr>
              <w:t>МУ «Отдел по делам культуры и организации досуга населения» муниципального образования «Тереньгульский район» (по согласованию)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Times New Roman CYR"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1519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Разработка, изготовление и тиражирование информационно-справочных материалов по противодействию терроризму, в том числе на транспорте и объектах транспортной инфраструктуры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  <w:lang w:eastAsia="ru-RU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8,0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2,0</w:t>
            </w:r>
          </w:p>
        </w:tc>
      </w:tr>
      <w:tr>
        <w:trPr>
          <w:trHeight w:val="1130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Проведение мероприятий по усилению уровня антитеррористической защищенности мест (объектов) с массовым пребыванием людей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15,0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5,0</w:t>
            </w:r>
          </w:p>
        </w:tc>
      </w:tr>
      <w:tr>
        <w:trPr>
          <w:trHeight w:val="312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 xml:space="preserve">Принятие материально-технических мер </w:t>
            </w:r>
            <w:r>
              <w:rPr>
                <w:rFonts w:cs="PT Astra Serif" w:ascii="PT Astra Serif" w:hAnsi="PT Astra Serif"/>
                <w:bCs/>
                <w:sz w:val="20"/>
                <w:lang w:eastAsia="ru-RU"/>
              </w:rPr>
              <w:t xml:space="preserve">по обеспечению антитеррористической защищённости административных зданий, </w:t>
            </w:r>
            <w:r>
              <w:rPr>
                <w:rFonts w:cs="PT Astra Serif" w:ascii="PT Astra Serif" w:hAnsi="PT Astra Serif"/>
                <w:sz w:val="20"/>
                <w:lang w:eastAsia="ru-RU"/>
              </w:rPr>
              <w:t>находящихся в ведении муниципального образования «Тереньгульский район».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eastAsia="Calibri" w:cs="PT Astra Serif" w:ascii="PT Astra Serif" w:hAnsi="PT Astra Serif"/>
                <w:w w:val="101"/>
                <w:sz w:val="20"/>
              </w:rPr>
              <w:t>Отдел по делам ГО и ЧС и взаимодействия с правоохранительными органами администрации муниципального образования «Тереньгульский район»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2026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местный бюджет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50,0</w:t>
            </w:r>
          </w:p>
        </w:tc>
      </w:tr>
      <w:tr>
        <w:trPr>
          <w:trHeight w:val="31" w:hRule="atLeast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Всего по программе: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  <w:szCs w:val="28"/>
              </w:rPr>
              <w:t>1010,9371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0"/>
                <w:lang w:eastAsia="zh-CN"/>
              </w:rPr>
            </w:pPr>
            <w:r>
              <w:rPr>
                <w:rFonts w:cs="PT Astra Serif" w:ascii="PT Astra Serif" w:hAnsi="PT Astra Serif"/>
                <w:sz w:val="20"/>
                <w:lang w:eastAsia="zh-CN"/>
              </w:rPr>
              <w:t>121,62848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146,30862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207,0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229,0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cs="PT Astra Serif" w:ascii="PT Astra Serif" w:hAnsi="PT Astra Serif"/>
                <w:sz w:val="20"/>
              </w:rPr>
              <w:t>307,0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widowControl/>
        <w:suppressAutoHyphens w:val="true"/>
        <w:bidi w:val="0"/>
        <w:spacing w:before="0" w:after="0"/>
        <w:ind w:left="0" w:right="-964" w:hanging="0"/>
        <w:jc w:val="both"/>
        <w:rPr/>
      </w:pPr>
      <w:r>
        <w:rPr>
          <w:rFonts w:cs="PT Astra Serif" w:ascii="PT Astra Serif" w:hAnsi="PT Astra Serif"/>
          <w:bCs/>
        </w:rPr>
        <w:tab/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widowControl/>
        <w:suppressAutoHyphens w:val="true"/>
        <w:bidi w:val="0"/>
        <w:spacing w:lineRule="auto" w:line="204" w:before="0" w:after="0"/>
        <w:ind w:left="0" w:right="-1020" w:hanging="0"/>
        <w:jc w:val="both"/>
        <w:rPr/>
      </w:pPr>
      <w:r>
        <w:rPr>
          <w:rFonts w:cs="PT Astra Serif" w:ascii="PT Astra Serif" w:hAnsi="PT Astra Serif"/>
          <w:szCs w:val="28"/>
        </w:rPr>
        <w:t xml:space="preserve">   </w:t>
      </w: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             Г.А. Шерстнев</w:t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9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>
        <w:rFonts w:cs="PT Astra Serif" w:ascii="PT Astra Serif" w:hAnsi="PT Astra Serif"/>
        <w:sz w:val="36"/>
        <w:szCs w:val="36"/>
      </w:rPr>
      <w:t>0478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f0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 w:customStyle="1">
    <w:name w:val="Заголовок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2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5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CC99-EF86-4B78-A3BC-49C36C87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Application>LibreOffice/7.0.6.2$Linux_X86_64 LibreOffice_project/00$Build-2</Application>
  <AppVersion>15.0000</AppVersion>
  <Pages>8</Pages>
  <Words>1329</Words>
  <Characters>9339</Characters>
  <CharactersWithSpaces>10484</CharactersWithSpaces>
  <Paragraphs>300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2021-11-19T12:23:00Z</dcterms:created>
  <dc:creator>User</dc:creator>
  <dc:description/>
  <dc:language>ru-RU</dc:language>
  <cp:lastModifiedBy/>
  <cp:lastPrinted>2023-12-25T09:28:58Z</cp:lastPrinted>
  <dcterms:modified xsi:type="dcterms:W3CDTF">2024-01-11T15:16:14Z</dcterms:modified>
  <cp:revision>20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