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ab/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6"/>
          <w:szCs w:val="26"/>
        </w:rPr>
      </w:pPr>
      <w:r>
        <w:rPr>
          <w:rFonts w:cs="PT Astra Serif" w:ascii="PT Astra Serif" w:hAnsi="PT Astra Serif"/>
          <w:smallCaps/>
          <w:sz w:val="26"/>
          <w:szCs w:val="26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4"/>
        </w:rPr>
      </w:pPr>
      <w:r>
        <w:rPr>
          <w:rFonts w:cs="PT Astra Serif"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Cs w:val="28"/>
        </w:rPr>
        <w:t>«</w:t>
      </w:r>
      <w:r>
        <w:rPr>
          <w:rStyle w:val="Style10"/>
          <w:rFonts w:cs="PT Astra Serif" w:ascii="PT Astra Serif" w:hAnsi="PT Astra Serif"/>
          <w:color w:val="000000"/>
          <w:szCs w:val="28"/>
        </w:rPr>
        <w:t>28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»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декабря </w:t>
      </w:r>
      <w:r>
        <w:rPr>
          <w:rStyle w:val="Style10"/>
          <w:rFonts w:cs="PT Astra Serif" w:ascii="PT Astra Serif" w:hAnsi="PT Astra Serif"/>
          <w:color w:val="000000"/>
          <w:szCs w:val="28"/>
        </w:rPr>
        <w:t>202</w:t>
      </w:r>
      <w:r>
        <w:rPr>
          <w:rStyle w:val="Style10"/>
          <w:rFonts w:cs="PT Astra Serif" w:ascii="PT Astra Serif" w:hAnsi="PT Astra Serif"/>
          <w:color w:val="000000"/>
          <w:szCs w:val="28"/>
        </w:rPr>
        <w:t>3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 г.</w:t>
      </w: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 xml:space="preserve">              </w:t>
        <w:tab/>
        <w:tab/>
        <w:t xml:space="preserve">                       </w:t>
      </w:r>
      <w:r>
        <w:rPr>
          <w:rStyle w:val="Style10"/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Style w:val="Style10"/>
          <w:rFonts w:cs="PT Astra Serif" w:ascii="PT Astra Serif" w:hAnsi="PT Astra Serif"/>
          <w:color w:val="000000"/>
          <w:szCs w:val="28"/>
        </w:rPr>
        <w:t>634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 xml:space="preserve">                 </w:t>
        <w:tab/>
        <w:t xml:space="preserve">   </w:t>
      </w:r>
      <w:r>
        <w:rPr>
          <w:rStyle w:val="Style10"/>
          <w:rFonts w:cs="PT Astra Serif" w:ascii="PT Astra Serif" w:hAnsi="PT Astra Serif"/>
          <w:color w:val="000000"/>
          <w:szCs w:val="28"/>
        </w:rPr>
        <w:t>Экз. №</w:t>
      </w:r>
      <w:r>
        <w:rPr>
          <w:rStyle w:val="Style10"/>
          <w:rFonts w:cs="PT Astra Serif" w:ascii="PT Astra Serif" w:hAnsi="PT Astra Serif"/>
          <w:color w:val="000000"/>
          <w:sz w:val="24"/>
          <w:szCs w:val="24"/>
        </w:rPr>
        <w:t xml:space="preserve"> _____</w:t>
      </w:r>
    </w:p>
    <w:p>
      <w:pPr>
        <w:pStyle w:val="Normal"/>
        <w:jc w:val="center"/>
        <w:rPr>
          <w:rStyle w:val="Style10"/>
          <w:rFonts w:ascii="PT Astra Serif" w:hAnsi="PT Astra Serif" w:cs="PT Astra Serif"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750" w:type="dxa"/>
        <w:jc w:val="left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50"/>
      </w:tblGrid>
      <w:tr>
        <w:trPr>
          <w:trHeight w:val="1103" w:hRule="atLeast"/>
        </w:trPr>
        <w:tc>
          <w:tcPr>
            <w:tcW w:w="9750" w:type="dxa"/>
            <w:tcBorders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 20.12.2019 № 593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2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both"/>
        <w:rPr/>
      </w:pPr>
      <w:r>
        <w:rPr>
          <w:rStyle w:val="Style10"/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Ульяновской области от 20.12.2019 № 593 «Об утверждении муниципальной программы по укреплению общественного здоровья «Здоровый муниципалитет на 2020-2024 годы» муниципального образования «Тереньгульский район» Ульяновской области»</w:t>
      </w:r>
      <w:r>
        <w:rPr>
          <w:rStyle w:val="Style10"/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следующие изменения: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 xml:space="preserve">1.1.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муниципальной программы с разбивкой по этапам и годам реализации» паспорта 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рограммы изложить в следующей редакции: «Объем финансирования муниципальной программы за счет бюджетных ассигнований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04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,6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тыс.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рублей, в том числе по годам: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45,865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tabs>
          <w:tab w:val="clear" w:pos="720"/>
          <w:tab w:val="left" w:pos="4095" w:leader="none"/>
        </w:tabs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3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8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65,36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1.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.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Раздел 5 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Финансирование муниципальной программы осуществляется за счет средств бюджета муниципального образования «Тереньгульский район».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Общий объем финансирования составляет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04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5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рублей, в том числе по годам: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2020 год – 23 тыс. рублей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2021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2022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45,865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тыс. рублей;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3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8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>,4</w:t>
      </w:r>
      <w:r>
        <w:rPr>
          <w:rStyle w:val="Style10"/>
          <w:rFonts w:cs="PT Astra Serif" w:ascii="PT Astra Serif" w:hAnsi="PT Astra Serif"/>
          <w:sz w:val="28"/>
          <w:szCs w:val="28"/>
          <w:shd w:fill="FFFFFF" w:val="clear"/>
        </w:rPr>
        <w:t xml:space="preserve"> тыс. рублей;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 </w:t>
      </w:r>
    </w:p>
    <w:p>
      <w:pPr>
        <w:pStyle w:val="Style36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2024 год –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65,36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 рублей.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1.3.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</w:t>
      </w:r>
      <w:r>
        <w:rPr>
          <w:rStyle w:val="Style10"/>
          <w:rFonts w:cs="PT Astra Serif" w:ascii="PT Astra Serif" w:hAnsi="PT Astra Serif"/>
          <w:sz w:val="28"/>
          <w:szCs w:val="28"/>
        </w:rPr>
        <w:t>трок</w:t>
      </w:r>
      <w:r>
        <w:rPr>
          <w:rStyle w:val="Style10"/>
          <w:rFonts w:cs="PT Astra Serif" w:ascii="PT Astra Serif" w:hAnsi="PT Astra Serif"/>
          <w:sz w:val="28"/>
          <w:szCs w:val="28"/>
        </w:rPr>
        <w:t>у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«Ресурсное обеспечение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муниципальной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подпрограммы с разбивкой по этапам и годам реализации»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паспорта муниципальной под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п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рограммы изложить в следующей редакции: « Средства бюджета муниципального образования «Тереньгульский район» на 2022 — 2024 гг всего </w:t>
      </w:r>
      <w:r>
        <w:rPr>
          <w:rStyle w:val="Style10"/>
          <w:rFonts w:cs="PT Astra Serif" w:ascii="PT Astra Serif" w:hAnsi="PT Astra Serif"/>
          <w:b/>
          <w:color w:val="000000"/>
          <w:sz w:val="26"/>
          <w:szCs w:val="26"/>
          <w:shd w:fill="FFFFFF" w:val="clear"/>
        </w:rPr>
        <w:t>6</w:t>
      </w:r>
      <w:r>
        <w:rPr>
          <w:rStyle w:val="Style10"/>
          <w:rFonts w:cs="PT Astra Serif" w:ascii="PT Astra Serif" w:hAnsi="PT Astra Serif"/>
          <w:b/>
          <w:color w:val="000000"/>
          <w:sz w:val="26"/>
          <w:szCs w:val="26"/>
          <w:shd w:fill="FFFFFF" w:val="clear"/>
        </w:rPr>
        <w:t>0,15903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тыс.руб., в том числе по годам: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2023 год — </w:t>
      </w:r>
      <w:r>
        <w:rPr>
          <w:rStyle w:val="Style10"/>
          <w:rFonts w:cs="PT Astra Serif" w:ascii="PT Astra Serif" w:hAnsi="PT Astra Serif"/>
          <w:b/>
          <w:color w:val="000000"/>
          <w:sz w:val="26"/>
          <w:szCs w:val="26"/>
          <w:shd w:fill="FFFFFF" w:val="clear"/>
        </w:rPr>
        <w:t>6,67903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2024 год — 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rStyle w:val="Style10"/>
          <w:rFonts w:ascii="PT Astra Serif" w:hAnsi="PT Astra Serif" w:cs="PT Astra Serif"/>
          <w:color w:val="000000"/>
          <w:shd w:fill="FFFFFF" w:val="clear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1.4. Раздел 6 Подпрограммы изложить в следующей редакции: 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Предлагаются следующие объемы финансирования за счет средств бюджета муниципального образования «Тереньгульский район»: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Средства бюджета муниципального образования «Тереньгульский район» на 2022 -2024 г.г. всего: </w:t>
      </w:r>
      <w:r>
        <w:rPr>
          <w:rStyle w:val="Style10"/>
          <w:rFonts w:cs="PT Astra Serif" w:ascii="PT Astra Serif" w:hAnsi="PT Astra Serif"/>
          <w:b/>
          <w:color w:val="000000"/>
          <w:sz w:val="26"/>
          <w:szCs w:val="26"/>
          <w:shd w:fill="FFFFFF" w:val="clear"/>
        </w:rPr>
        <w:t>6</w:t>
      </w:r>
      <w:r>
        <w:rPr>
          <w:rStyle w:val="Style10"/>
          <w:rFonts w:cs="PT Astra Serif" w:ascii="PT Astra Serif" w:hAnsi="PT Astra Serif"/>
          <w:b/>
          <w:color w:val="000000"/>
          <w:sz w:val="26"/>
          <w:szCs w:val="26"/>
          <w:shd w:fill="FFFFFF" w:val="clear"/>
        </w:rPr>
        <w:t>0,15903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тыс.руб.,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в том числе: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2022 год —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12,12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2023 год — </w:t>
      </w:r>
      <w:r>
        <w:rPr>
          <w:rStyle w:val="Style10"/>
          <w:rFonts w:cs="PT Astra Serif" w:ascii="PT Astra Serif" w:hAnsi="PT Astra Serif"/>
          <w:b/>
          <w:color w:val="000000"/>
          <w:sz w:val="26"/>
          <w:szCs w:val="26"/>
          <w:shd w:fill="FFFFFF" w:val="clear"/>
        </w:rPr>
        <w:t>6,67903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2024 год — 4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,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36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 тыс.руб.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 xml:space="preserve">Расходы на реализацию программных мероприятий за счет средств бюджета муниципального образования «Тереньгульский район» подлежат ежегодному уточнению при формировании бюджета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 xml:space="preserve">муниципального образования «Тереньгульский район»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  <w:shd w:fill="FFFFFF" w:val="clear"/>
        </w:rPr>
        <w:t>на соответствующий финансовый год.»</w:t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1.5. </w:t>
      </w:r>
      <w:r>
        <w:rPr>
          <w:rFonts w:cs="PT Astra Serif"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к подпрограмме «Кадровое обеспечение отрасли здравоохранения в муниципальном образовании «Тереньгульский район» </w:t>
      </w:r>
      <w:r>
        <w:rPr>
          <w:rFonts w:cs="PT Astra Serif" w:ascii="PT Astra Serif" w:hAnsi="PT Astra Serif"/>
          <w:sz w:val="28"/>
          <w:szCs w:val="28"/>
        </w:rPr>
        <w:t>на 2022-2024 г.»</w:t>
      </w:r>
    </w:p>
    <w:p>
      <w:pPr>
        <w:pStyle w:val="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изложить </w:t>
      </w:r>
      <w:r>
        <w:rPr>
          <w:rFonts w:cs="PT Astra Serif" w:ascii="PT Astra Serif" w:hAnsi="PT Astra Serif"/>
          <w:sz w:val="28"/>
          <w:szCs w:val="28"/>
        </w:rPr>
        <w:t>в следующей редакции:</w:t>
      </w:r>
      <w:r>
        <w:br w:type="page"/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ind w:left="5103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«ПРИЛОЖЕНИЕ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подпрограмме «Кадровое обеспечение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отрасли здравоохранения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«Тереньгульский район» </w:t>
      </w:r>
    </w:p>
    <w:p>
      <w:pPr>
        <w:pStyle w:val="Normal"/>
        <w:ind w:left="0" w:right="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2022-2024 годы»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  <w:t>Перечень основных мероприятий муниципальной подпрограммы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/>
          <w:b/>
          <w:sz w:val="26"/>
          <w:szCs w:val="26"/>
        </w:rPr>
      </w:pPr>
      <w:r>
        <w:rPr>
          <w:rFonts w:cs="PT Astra Serif" w:ascii="PT Astra Serif" w:hAnsi="PT Astra Serif"/>
          <w:b/>
          <w:sz w:val="26"/>
          <w:szCs w:val="26"/>
        </w:rPr>
      </w:r>
    </w:p>
    <w:tbl>
      <w:tblPr>
        <w:tblW w:w="96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410"/>
        <w:gridCol w:w="1260"/>
        <w:gridCol w:w="1125"/>
        <w:gridCol w:w="1289"/>
        <w:gridCol w:w="1443"/>
      </w:tblGrid>
      <w:tr>
        <w:trPr>
          <w:cantSplit w:val="true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5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Объем финансирования (тыс.руб.)</w:t>
            </w:r>
          </w:p>
        </w:tc>
      </w:tr>
      <w:tr>
        <w:trPr>
          <w:cantSplit w:val="true"/>
        </w:trPr>
        <w:tc>
          <w:tcPr>
            <w:tcW w:w="31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2024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Возмещение расходов по найму жилого помещения в течение первых, трех лет (не менее) после трудоустройства в государственное учреждение здравоохранения в размере  </w:t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1000 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4,6129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>
              <w:rPr>
                <w:rFonts w:ascii="PT Astra Serif" w:hAnsi="PT Astra Serif"/>
                <w:szCs w:val="28"/>
              </w:rPr>
              <w:t>2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6,6129</w:t>
            </w: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36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</w:tr>
      <w:tr>
        <w:trPr/>
        <w:tc>
          <w:tcPr>
            <w:tcW w:w="312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Приобретение сувенирной и подарочной продукции</w:t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,0</w:t>
            </w:r>
          </w:p>
        </w:tc>
      </w:tr>
      <w:tr>
        <w:trPr/>
        <w:tc>
          <w:tcPr>
            <w:tcW w:w="312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41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Услуги банка за перечисление денежных средств в размере 1% от суммы зачисления на счета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течение 2022-2024гг.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54613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06613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0,</w:t>
            </w:r>
            <w:r>
              <w:rPr>
                <w:rFonts w:ascii="PT Astra Serif" w:hAnsi="PT Astra Serif"/>
                <w:szCs w:val="28"/>
              </w:rPr>
              <w:t>360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0,15903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12,12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6,67903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/>
                <w:b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360</w:t>
            </w:r>
          </w:p>
        </w:tc>
      </w:tr>
    </w:tbl>
    <w:p>
      <w:pPr>
        <w:pStyle w:val="Normal"/>
        <w:spacing w:lineRule="auto" w:line="192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567" w:gutter="0" w:header="0" w:top="1134" w:footer="1172" w:bottom="1948"/>
          <w:pgNumType w:fmt="decimal"/>
          <w:formProt w:val="false"/>
          <w:titlePg/>
          <w:textDirection w:val="lrTb"/>
          <w:docGrid w:type="default" w:linePitch="600" w:charSpace="24576"/>
        </w:sectPr>
        <w:pStyle w:val="Normal"/>
        <w:spacing w:lineRule="auto" w:line="19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>«Приложение №3</w:t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 xml:space="preserve">к муниципальной программе  по укреплению </w:t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 xml:space="preserve">общественного здоровья «Здоровый муниципалитет на 2020-2024 годы» </w:t>
      </w:r>
    </w:p>
    <w:p>
      <w:pPr>
        <w:pStyle w:val="Default"/>
        <w:suppressAutoHyphens w:val="true"/>
        <w:ind w:left="0" w:right="0" w:firstLine="709"/>
        <w:jc w:val="right"/>
        <w:rPr>
          <w:rFonts w:ascii="PT Astra Serif" w:hAnsi="PT Astra Serif"/>
        </w:rPr>
      </w:pPr>
      <w:r>
        <w:rPr>
          <w:rFonts w:eastAsia="Batang;바탕" w:cs="PT Astra Serif" w:ascii="PT Astra Serif" w:hAnsi="PT Astra Serif"/>
          <w:b w:val="false"/>
          <w:bCs w:val="false"/>
          <w:iCs/>
          <w:sz w:val="24"/>
          <w:szCs w:val="24"/>
        </w:rPr>
        <w:t>муниципального образования «Тереньгульский район» Ульяновской области</w:t>
      </w:r>
      <w:r>
        <w:rPr>
          <w:rFonts w:eastAsia="Batang;바탕" w:cs="PT Astra Serif" w:ascii="PT Astra Serif" w:hAnsi="PT Astra Serif"/>
          <w:b/>
          <w:bCs/>
          <w:iCs/>
          <w:sz w:val="24"/>
          <w:szCs w:val="24"/>
        </w:rPr>
        <w:t>»</w:t>
      </w:r>
    </w:p>
    <w:p>
      <w:pPr>
        <w:pStyle w:val="Normal"/>
        <w:rPr>
          <w:rFonts w:ascii="PT Astra Serif" w:hAnsi="PT Astra Serif" w:cs="PT Astra Serif"/>
          <w:b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b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PT Astra Serif" w:ascii="PT Astra Serif" w:hAnsi="PT Astra Serif"/>
          <w:b/>
          <w:bCs/>
          <w:iCs/>
          <w:sz w:val="28"/>
          <w:szCs w:val="28"/>
        </w:rPr>
        <w:t>Мероприятия</w:t>
      </w:r>
      <w:r>
        <w:rPr>
          <w:rFonts w:eastAsia="Batang;바탕" w:cs="PT Astra Serif" w:ascii="PT Astra Serif" w:hAnsi="PT Astra Serif"/>
          <w:b/>
          <w:bCs/>
          <w:iCs/>
          <w:sz w:val="28"/>
          <w:szCs w:val="28"/>
        </w:rPr>
        <w:t xml:space="preserve"> муниципальной программы  по укреплению </w:t>
      </w:r>
      <w:r>
        <w:rPr>
          <w:rFonts w:eastAsia="Batang;바탕" w:cs="PT Astra Serif" w:ascii="PT Astra Serif" w:hAnsi="PT Astra Serif"/>
          <w:b/>
          <w:bCs/>
          <w:sz w:val="28"/>
          <w:szCs w:val="28"/>
        </w:rPr>
        <w:t xml:space="preserve">общественного здоровья 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/>
          <w:bCs/>
          <w:sz w:val="28"/>
          <w:szCs w:val="28"/>
        </w:rPr>
      </w:pPr>
      <w:r>
        <w:rPr>
          <w:rFonts w:eastAsia="Batang;바탕" w:cs="PT Astra Serif" w:ascii="PT Astra Serif" w:hAnsi="PT Astra Serif"/>
          <w:b/>
          <w:bCs/>
          <w:sz w:val="28"/>
          <w:szCs w:val="28"/>
        </w:rPr>
        <w:t xml:space="preserve">«Здоровый муниципалитет на 2020-2024 годы» 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Batang;바탕" w:cs="PT Astra Serif" w:ascii="PT Astra Serif" w:hAnsi="PT Astra Serif"/>
          <w:b/>
          <w:bCs/>
          <w:iCs/>
          <w:color w:val="000000"/>
          <w:sz w:val="28"/>
          <w:szCs w:val="28"/>
          <w:lang w:eastAsia="ru-RU"/>
        </w:rPr>
        <w:t>муниципального образования 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089" w:type="dxa"/>
        <w:jc w:val="left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33"/>
        <w:gridCol w:w="1912"/>
        <w:gridCol w:w="1376"/>
        <w:gridCol w:w="724"/>
        <w:gridCol w:w="900"/>
        <w:gridCol w:w="915"/>
        <w:gridCol w:w="1185"/>
        <w:gridCol w:w="872"/>
        <w:gridCol w:w="3672"/>
      </w:tblGrid>
      <w:tr>
        <w:trPr/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№</w:t>
            </w:r>
            <w:r>
              <w:rPr>
                <w:rFonts w:eastAsia="PT Astra Serif"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cs="PT Astra Serif" w:ascii="PT Astra Serif" w:hAnsi="PT Astra Serif"/>
                <w:sz w:val="24"/>
                <w:szCs w:val="24"/>
              </w:rPr>
              <w:br/>
            </w: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Срок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исполнители</w:t>
            </w:r>
          </w:p>
        </w:tc>
      </w:tr>
      <w:tr>
        <w:trPr/>
        <w:tc>
          <w:tcPr>
            <w:tcW w:w="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3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720" w:right="0" w:hanging="0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1.Мероприятия, направленные на формирование регулярной двигательной активности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и занятий физической культурой и спортом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Районная спартакиада среди молодежи допризывного и призывного возрастов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 w:val="false"/>
                <w:b w:val="false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/>
                <w:iCs/>
                <w:color w:val="000000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Сентябрь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 Отдел  образования муниципального образования «Тереньгульский 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МУ Отдел по делам культуры и организации досуга населения муниципального образования «Тереньгульский район»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Times New Roman;serif" w:ascii="PT Astra Serif" w:hAnsi="PT Astra Serif"/>
                <w:color w:val="000000"/>
                <w:sz w:val="24"/>
                <w:szCs w:val="24"/>
              </w:rPr>
              <w:t>Соревнования между клубами молодых семей «Всей семьёй на стадион!»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 – 2024 гг.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МУ Отдел образования муниципального образования «Тереньгульский  район» (по согласованию), 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2.Мероприятия, направленные на профилактику и преодоление зависимости (вредных привычек) 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6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72097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before="0" w:after="1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Приобретение стендов, баннеров, направленных на пропаганду здорового образа жизни и негативного отношения к употреблению алкоголя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Конкурс</w:t>
            </w:r>
          </w:p>
          <w:p>
            <w:pPr>
              <w:pStyle w:val="Style28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«Мои здоровые привычки»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8"/>
              </w:rPr>
              <w:t>МОУ ДОД Центр детского творчества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(по согласованию)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Организация цикла статей по здоровому образу жизни и профилактике вредных привычек в районной газете «Тереньгульские вести»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ГУЗ «Тереньгульская районная больница» (по согласованию),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Cs/>
                <w:iCs/>
                <w:sz w:val="28"/>
                <w:szCs w:val="28"/>
              </w:rPr>
              <w:t>2.5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"Международного Дня борьбы с наркоманией", "Международного Дня отказа от курения", "Международного Дня борьбы со СПИДом" (организация акций, конкурсов плакатов и рисунков, спортивно-развлекательных соревнований и мероприятий в образовательных учреждения района, посвященных пропаганде здорового образа жизни и отказа от вредных привычек)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образования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 район» (по согласованию)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, 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 район» (по согласованию)</w:t>
            </w:r>
          </w:p>
        </w:tc>
      </w:tr>
      <w:tr>
        <w:trPr/>
        <w:tc>
          <w:tcPr>
            <w:tcW w:w="15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3. Мероприятия, направленные на формирование ценностей здорового образа жизни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 xml:space="preserve">Проведение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 в рамках Всемирных дней здоровья: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 Всемирный день борьбы против рака (04.02);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 с туберкулезом (24.03);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Всемирный день здоровья (07.04);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астмой (07.05);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гипертонией (17.05);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без табака (31.05);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/>
            </w:pPr>
            <w:r>
              <w:rPr>
                <w:rStyle w:val="Style14"/>
                <w:rFonts w:eastAsia="PT Astra Serif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Международный день борьбы со злоупотреблением наркотическими средствами и их незаконным оборотом (26.06);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Всемирный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 день сердца (29.09);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трезвости (03.10);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раком груди (15.10);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Всемирный день борьбы с инсультом (29.10);</w:t>
            </w:r>
          </w:p>
          <w:p>
            <w:pPr>
              <w:pStyle w:val="Default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Всемирный день борьбы с сахарным диабетом (14.11);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lineRule="atLeast" w:line="100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Всемирный день борьбы со СПИДОМ (01.12)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8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11,745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10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МУ Отдел образования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 «Тереньгульский район»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 «Тереньгульский район»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    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Отдел ЗАГС администрации </w:t>
            </w: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муниципального образования  «Тереньгульский район»,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ОГКУСЗН отделение по Тереньгульскому району  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Центр «Семья»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Проведение цикла мероприятий для семей, воспитывающих детей с ограниченными возможностями здоровья: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Тренинг для родителей детей инвалидов «Семья с ребенком-инвалидом» (встреча с педагогом-психологом);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- конкурс рисунков «Мы за здоровый образ жизни»;</w:t>
            </w:r>
          </w:p>
          <w:p>
            <w:pPr>
              <w:pStyle w:val="Style33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- практическое занятие «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Путешествие в страну здоровья»;</w:t>
            </w:r>
          </w:p>
          <w:p>
            <w:pPr>
              <w:pStyle w:val="Style33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игра «Совершенно верно».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Январь-май 2020-2024 гг.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реабилитации детей с ограниченными возможностями здоровья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и инвалидностью и молодых инвалидов в Тереньгульском районе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Функционирование центров активного долголетия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1200,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ОГКУСЗН отделение по Тереньгульскому району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Членство в Ассоциации «Здоровые города, районы и поселки».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Сентябрь-октябрь 2020-2024 гг.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Проведение в общеобразовательных учреждениях районных конкурсов, направленных на формирование культуры здор</w:t>
            </w:r>
            <w:r>
              <w:rPr>
                <w:rFonts w:cs="PT Astra Serif" w:ascii="PT Astra Serif" w:hAnsi="PT Astra Serif"/>
                <w:b w:val="false"/>
                <w:bCs w:val="false"/>
                <w:iCs/>
                <w:sz w:val="24"/>
                <w:szCs w:val="24"/>
              </w:rPr>
              <w:t>ового образа жизни (</w:t>
            </w: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«Здоровый образ жизни – мой выбор!»</w:t>
            </w:r>
            <w:r>
              <w:rPr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, «Здоровый образ жизни — это стильно!»)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Сентябрь-май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МУ Отдел образования   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Style16"/>
              <w:snapToGrid w:val="false"/>
              <w:spacing w:before="0" w:after="12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 ДО Центр детского творчества муниципального образования «Тереньгульский район»  (по согласованию)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1428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4. Мероприятия, направленные на регулярность медицинского контроля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Обеспечение подвоза населения на флюорографическое обследование </w:t>
            </w:r>
            <w:r>
              <w:rPr>
                <w:rFonts w:cs="PT Astra Serif" w:ascii="PT Astra Serif" w:hAnsi="PT Astra Serif"/>
                <w:sz w:val="24"/>
                <w:szCs w:val="24"/>
                <w:lang w:val="ru-RU"/>
              </w:rPr>
              <w:t>в ГУЗ «Тереньгульская районная больница»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ГУЗ «Тереньгульская РБ» (по согласованию)</w:t>
            </w:r>
          </w:p>
        </w:tc>
      </w:tr>
      <w:tr>
        <w:trPr/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Оказание содействия в проведении выездной флюорографической кампании в Тереньгульском районе районе 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1344,46597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3,745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31,72097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</w:tr>
    </w:tbl>
    <w:p>
      <w:pPr>
        <w:sectPr>
          <w:footerReference w:type="even" r:id="rId5"/>
          <w:footerReference w:type="default" r:id="rId6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</w:pPr>
    </w:p>
    <w:p>
      <w:pPr>
        <w:pStyle w:val="Normal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»</w:t>
      </w:r>
    </w:p>
    <w:p>
      <w:pPr>
        <w:pStyle w:val="Normal"/>
        <w:ind w:left="0" w:right="0"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</w:rPr>
        <w:t xml:space="preserve">2. </w:t>
      </w:r>
      <w:r>
        <w:rPr>
          <w:rFonts w:cs="PT Astra Serif" w:ascii="PT Astra Serif" w:hAnsi="PT Astra Serif"/>
          <w:color w:val="000000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color w:val="000000"/>
          <w:szCs w:val="28"/>
        </w:rPr>
        <w:t>Ульяновской области                                                                      Г.А. Шерстнев</w:t>
      </w:r>
      <w:r>
        <w:rPr>
          <w:rFonts w:ascii="PT Astra Serif" w:hAnsi="PT Astra Serif"/>
          <w:szCs w:val="28"/>
        </w:rPr>
        <w:t xml:space="preserve">           </w:t>
      </w:r>
    </w:p>
    <w:sectPr>
      <w:footerReference w:type="even" r:id="rId7"/>
      <w:footerReference w:type="default" r:id="rId8"/>
      <w:type w:val="nextPage"/>
      <w:pgSz w:w="11906" w:h="16838"/>
      <w:pgMar w:left="1701" w:right="848" w:gutter="0" w:header="0" w:top="1134" w:footer="72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lfaen"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widowControl/>
      <w:suppressLineNumbers/>
      <w:suppressAutoHyphens w:val="false"/>
      <w:bidi w:val="0"/>
      <w:ind w:left="0" w:right="0" w:hanging="510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0644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.%2"/>
      <w:lvlJc w:val="left"/>
      <w:pPr>
        <w:tabs>
          <w:tab w:val="num" w:pos="1080"/>
        </w:tabs>
        <w:ind w:left="1080" w:hanging="360"/>
      </w:pPr>
      <w:rPr/>
    </w:lvl>
    <w:lvl w:ilvl="2">
      <w:start w:val="1"/>
      <w:pStyle w:val="3"/>
      <w:numFmt w:val="decimal"/>
      <w:lvlText w:val=".%3"/>
      <w:lvlJc w:val="left"/>
      <w:pPr>
        <w:tabs>
          <w:tab w:val="num" w:pos="1440"/>
        </w:tabs>
        <w:ind w:left="1440" w:hanging="360"/>
      </w:pPr>
      <w:rPr/>
    </w:lvl>
    <w:lvl w:ilvl="3">
      <w:start w:val="1"/>
      <w:pStyle w:val="4"/>
      <w:numFmt w:val="decimal"/>
      <w:lvlText w:val=".%4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evenAndOddHeaders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kern w:val="2"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kern w:val="2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kern w:val="2"/>
      <w:sz w:val="32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PT Astra Serif"/>
      <w:color w:val="000000"/>
      <w:sz w:val="24"/>
      <w:szCs w:val="24"/>
    </w:rPr>
  </w:style>
  <w:style w:type="character" w:styleId="WW8Num3z0">
    <w:name w:val="WW8Num3z0"/>
    <w:qFormat/>
    <w:rPr>
      <w:rFonts w:ascii="Wingdings" w:hAnsi="Wingdings"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0">
    <w:name w:val="Основной шрифт абзаца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5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7z0">
    <w:name w:val="WW8Num7z0"/>
    <w:qFormat/>
    <w:rPr>
      <w:rFonts w:ascii="Courier New" w:hAnsi="Courier New" w:cs="Times New Roman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Symbol" w:hAnsi="Symbol" w:eastAsia="Arial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styleId="Style11">
    <w:name w:val="Интернет-ссылка"/>
    <w:rPr>
      <w:color w:val="0000FF"/>
      <w:u w:val="single"/>
    </w:rPr>
  </w:style>
  <w:style w:type="character" w:styleId="9">
    <w:name w:val=" Знак Знак9"/>
    <w:qFormat/>
    <w:rPr>
      <w:rFonts w:ascii="Calibri" w:hAnsi="Calibri" w:cs="Calibri"/>
      <w:sz w:val="22"/>
      <w:szCs w:val="22"/>
      <w:lang w:val="ru-RU" w:bidi="ar-SA"/>
    </w:rPr>
  </w:style>
  <w:style w:type="character" w:styleId="7">
    <w:name w:val=" Знак Знак7"/>
    <w:qFormat/>
    <w:rPr>
      <w:rFonts w:ascii="Calibri" w:hAnsi="Calibri" w:cs="Calibri"/>
      <w:sz w:val="22"/>
      <w:szCs w:val="22"/>
      <w:lang w:val="ru-RU" w:bidi="ar-SA"/>
    </w:rPr>
  </w:style>
  <w:style w:type="character" w:styleId="6">
    <w:name w:val=" Знак Знак6"/>
    <w:qFormat/>
    <w:rPr>
      <w:rFonts w:ascii="Calibri" w:hAnsi="Calibri" w:cs="Calibri"/>
      <w:sz w:val="16"/>
      <w:szCs w:val="16"/>
      <w:lang w:val="ru-RU" w:bidi="ar-SA"/>
    </w:rPr>
  </w:style>
  <w:style w:type="character" w:styleId="Style12">
    <w:name w:val="Гипертекстовая ссылка"/>
    <w:qFormat/>
    <w:rPr>
      <w:rFonts w:cs="Times New Roman"/>
      <w:color w:val="008000"/>
      <w:sz w:val="22"/>
      <w:szCs w:val="22"/>
    </w:rPr>
  </w:style>
  <w:style w:type="character" w:styleId="12">
    <w:name w:val=" Знак Знак1"/>
    <w:qFormat/>
    <w:rPr>
      <w:rFonts w:ascii="Courier New" w:hAnsi="Courier New" w:cs="Courier New"/>
      <w:lang w:val="ru-RU" w:bidi="ar-SA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FontStyle21">
    <w:name w:val="Font Style21"/>
    <w:qFormat/>
    <w:rPr>
      <w:rFonts w:ascii="Times New Roman" w:hAnsi="Times New Roman" w:cs="Times New Roman"/>
      <w:spacing w:val="20"/>
      <w:sz w:val="26"/>
      <w:szCs w:val="26"/>
    </w:rPr>
  </w:style>
  <w:style w:type="character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WW">
    <w:name w:val="WW-Интернет-ссылка"/>
    <w:qFormat/>
    <w:rPr>
      <w:color w:val="0000FF"/>
      <w:u w:val="single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8"/>
      <w:szCs w:val="24"/>
    </w:rPr>
  </w:style>
  <w:style w:type="paragraph" w:styleId="51">
    <w:name w:val="Указатель5"/>
    <w:basedOn w:val="Normal"/>
    <w:qFormat/>
    <w:pPr>
      <w:suppressLineNumbers/>
    </w:pPr>
    <w:rPr>
      <w:rFonts w:ascii="PT Astra Serif" w:hAnsi="PT Astra Serif" w:cs="Lucida Sans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Lucida Sans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autoSpaceDE w:val="false"/>
      <w:spacing w:lineRule="exact" w:line="198"/>
    </w:pPr>
    <w:rPr>
      <w:sz w:val="24"/>
      <w:szCs w:val="24"/>
    </w:rPr>
  </w:style>
  <w:style w:type="paragraph" w:styleId="Style221">
    <w:name w:val="Style22"/>
    <w:basedOn w:val="Normal"/>
    <w:qFormat/>
    <w:pPr>
      <w:widowControl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autoSpaceDE w:val="false"/>
      <w:spacing w:lineRule="exact" w:line="197"/>
      <w:jc w:val="both"/>
    </w:pPr>
    <w:rPr>
      <w:sz w:val="24"/>
      <w:szCs w:val="24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16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kern w:val="2"/>
      <w:sz w:val="32"/>
      <w:szCs w:val="24"/>
    </w:rPr>
  </w:style>
  <w:style w:type="paragraph" w:styleId="Style28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kern w:val="2"/>
      <w:sz w:val="24"/>
      <w:szCs w:val="24"/>
      <w:lang w:bidi="hi-IN"/>
    </w:rPr>
  </w:style>
  <w:style w:type="paragraph" w:styleId="Style29">
    <w:name w:val="Style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ascii="Arial" w:hAnsi="Arial" w:cs="Arial"/>
      <w:kern w:val="2"/>
      <w:sz w:val="20"/>
    </w:rPr>
  </w:style>
  <w:style w:type="paragraph" w:styleId="Style3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2">
    <w:name w:val="Body Text Indent"/>
    <w:basedOn w:val="Normal"/>
    <w:pPr>
      <w:spacing w:before="0" w:after="120"/>
      <w:ind w:left="283" w:right="0" w:hanging="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rFonts w:ascii="Calibri" w:hAnsi="Calibri" w:cs="Calibri"/>
      <w:sz w:val="22"/>
      <w:szCs w:val="22"/>
    </w:rPr>
  </w:style>
  <w:style w:type="paragraph" w:styleId="321">
    <w:name w:val="Основной текст с отступом 32"/>
    <w:basedOn w:val="Normal"/>
    <w:qFormat/>
    <w:pPr>
      <w:spacing w:lineRule="auto" w:line="276" w:before="0" w:after="120"/>
      <w:ind w:left="283" w:right="0" w:hanging="0"/>
    </w:pPr>
    <w:rPr>
      <w:rFonts w:ascii="Calibri" w:hAnsi="Calibri" w:cs="Calibri"/>
      <w:sz w:val="16"/>
      <w:szCs w:val="16"/>
    </w:rPr>
  </w:style>
  <w:style w:type="paragraph" w:styleId="16">
    <w:name w:val="Текст1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26"/>
      <w:ind w:left="0" w:right="0" w:hanging="360"/>
    </w:pPr>
    <w:rPr>
      <w:sz w:val="24"/>
      <w:szCs w:val="24"/>
    </w:rPr>
  </w:style>
  <w:style w:type="paragraph" w:styleId="HEADERTEXT">
    <w:name w:val=".HEADERTEX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2B4279"/>
      <w:sz w:val="22"/>
      <w:szCs w:val="22"/>
      <w:lang w:val="ru-RU" w:eastAsia="zh-CN" w:bidi="ar-SA"/>
    </w:rPr>
  </w:style>
  <w:style w:type="paragraph" w:styleId="Style3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4">
    <w:name w:val="Абзац списка"/>
    <w:basedOn w:val="Normal"/>
    <w:qFormat/>
    <w:pPr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lang w:val="ru-RU"/>
    </w:rPr>
  </w:style>
  <w:style w:type="paragraph" w:styleId="ConsPlusCellTimesNewRoman">
    <w:name w:val="ConsPlusCell + Times New Roman"/>
    <w:basedOn w:val="Normal"/>
    <w:qFormat/>
    <w:pPr>
      <w:widowControl w:val="false"/>
      <w:jc w:val="center"/>
    </w:pPr>
    <w:rPr>
      <w:b/>
      <w:bCs/>
      <w:sz w:val="24"/>
      <w:szCs w:val="24"/>
    </w:rPr>
  </w:style>
  <w:style w:type="paragraph" w:styleId="Style35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Style36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Droid Sans Fallback" w:cs="Droid Sans Devanagari"/>
      <w:color w:val="auto"/>
      <w:sz w:val="28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889</TotalTime>
  <Application>LibreOffice/7.3.2.2$Windows_X86_64 LibreOffice_project/49f2b1bff42cfccbd8f788c8dc32c1c309559be0</Application>
  <AppVersion>15.0000</AppVersion>
  <Pages>10</Pages>
  <Words>1471</Words>
  <Characters>10666</Characters>
  <CharactersWithSpaces>12078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2018-11-09T12:13:00Z</dcterms:created>
  <dc:creator>User</dc:creator>
  <dc:description/>
  <dc:language>ru-RU</dc:language>
  <cp:lastModifiedBy/>
  <cp:lastPrinted>2023-11-08T09:50:24Z</cp:lastPrinted>
  <dcterms:modified xsi:type="dcterms:W3CDTF">2024-01-11T14:56:46Z</dcterms:modified>
  <cp:revision>49</cp:revision>
  <dc:subject/>
  <dc:title>ГЛАВА  МУНИЦИПАЛЬНОГО ОБРАЗОВАНИЯ</dc:title>
</cp:coreProperties>
</file>