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28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630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09.10.2020 № 394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слова 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25 737 263, 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«Источником финансирования Программы является бюджет муниципального образования «Тереньгульский район»,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25 737 263, 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Раздел 5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«Финансирование мероприятий программы будет осуществляться за счет средств бюджета муниципального образования «Тереньгульский район».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Общий объем финансирования Программы составляет 73 881 463,35 рублей, в том числе: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2021 год – </w:t>
      </w:r>
      <w:r>
        <w:rPr>
          <w:rFonts w:cs="PT Astra Serif" w:ascii="PT Astra Serif" w:hAnsi="PT Astra Serif"/>
          <w:bCs/>
          <w:szCs w:val="28"/>
        </w:rPr>
        <w:t>22 539 500,00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рублей;    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 xml:space="preserve">2022 год – </w:t>
      </w:r>
      <w:r>
        <w:rPr>
          <w:rFonts w:cs="PT Astra Serif" w:ascii="PT Astra Serif" w:hAnsi="PT Astra Serif"/>
          <w:bCs/>
          <w:szCs w:val="28"/>
        </w:rPr>
        <w:t xml:space="preserve">25 709 700,00 </w:t>
      </w:r>
      <w:r>
        <w:rPr>
          <w:rFonts w:cs="PT Astra Serif" w:ascii="PT Astra Serif" w:hAnsi="PT Astra Serif"/>
          <w:szCs w:val="28"/>
        </w:rPr>
        <w:t>рублей;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25 737 263,35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sectPr>
          <w:footerReference w:type="firs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rPr/>
      </w:pPr>
      <w:r>
        <w:rPr>
          <w:szCs w:val="28"/>
        </w:rPr>
        <w:tab/>
        <w:t xml:space="preserve">1.2. </w:t>
      </w:r>
      <w:r>
        <w:rPr>
          <w:rFonts w:cs="PT Astra Serif" w:ascii="PT Astra Serif" w:hAnsi="PT Astra Serif"/>
        </w:rPr>
        <w:t>Приложение №1 к программе изложить в следующей редакции:</w:t>
      </w:r>
    </w:p>
    <w:p>
      <w:pPr>
        <w:pStyle w:val="Normal"/>
        <w:jc w:val="right"/>
        <w:rPr/>
      </w:pPr>
      <w:r>
        <w:rPr>
          <w:sz w:val="24"/>
          <w:szCs w:val="24"/>
        </w:rPr>
        <w:t>«Приложение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>к Программе</w:t>
      </w:r>
    </w:p>
    <w:p>
      <w:pPr>
        <w:pStyle w:val="Normal"/>
        <w:jc w:val="center"/>
        <w:rPr/>
      </w:pPr>
      <w:r>
        <w:rPr>
          <w:b/>
        </w:rPr>
        <w:t xml:space="preserve">Мероприятия Программы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21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51"/>
        <w:gridCol w:w="3682"/>
        <w:gridCol w:w="1983"/>
        <w:gridCol w:w="1134"/>
        <w:gridCol w:w="1433"/>
        <w:gridCol w:w="127"/>
        <w:gridCol w:w="1276"/>
        <w:gridCol w:w="13"/>
        <w:gridCol w:w="1404"/>
        <w:gridCol w:w="1417"/>
        <w:gridCol w:w="2864"/>
        <w:gridCol w:w="29"/>
      </w:tblGrid>
      <w:tr>
        <w:trPr>
          <w:trHeight w:val="553" w:hRule="atLeast"/>
          <w:cantSplit w:val="true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  <w:softHyphen/>
              <w:t>рования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Объем финансирования по годам: (руб.)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rHeight w:val="330" w:hRule="atLeast"/>
          <w:cantSplit w:val="true"/>
        </w:trPr>
        <w:tc>
          <w:tcPr>
            <w:tcW w:w="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36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162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rPr/>
            </w:pPr>
            <w:r>
              <w:rPr>
                <w:b/>
                <w:bCs/>
                <w:color w:val="000000"/>
                <w:sz w:val="20"/>
              </w:rPr>
              <w:t>Мероприятия, направленные на решение проблемы 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Софинансирование программы по замене оконных блоков МУК 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(р.п. Тереньга)*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105425,00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</w:t>
            </w:r>
          </w:p>
        </w:tc>
      </w:tr>
      <w:tr>
        <w:trPr>
          <w:trHeight w:val="191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Внесение изменений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40 000,00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2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Софинансирование программы по замене оконных блоков </w:t>
            </w:r>
            <w:r>
              <w:rPr>
                <w:color w:val="000000"/>
                <w:sz w:val="20"/>
              </w:rPr>
              <w:t>МБУ ДО «Тереньгульская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96 090,88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  <w:shd w:fill="FFFFFF" w:val="clear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0"/>
              </w:rPr>
              <w:t>Софинансирование Государственной программы поддержки лучших муниципальных учреждений культуры, находящихся на территории сельских поселений.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26 075,00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>
        <w:trPr>
          <w:trHeight w:val="182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«Межпоселенческая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162100,00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2. Раз</w:t>
            </w:r>
            <w:bookmarkStart w:id="0" w:name="%252525D0%252525A0%252525D0%252525B0%252"/>
            <w:bookmarkEnd w:id="0"/>
            <w:r>
              <w:rPr>
                <w:rFonts w:cs="Times New Roman" w:ascii="Times New Roman" w:hAnsi="Times New Roman"/>
                <w:b/>
                <w:sz w:val="20"/>
              </w:rPr>
              <w:t>витие кадрового потенциала отрасли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Предоставление мер социальной поддержки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1.Единовременная денежная выплата.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2.Ежемесячная  денежная выплата к заработной плате.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«Тереньгульский район»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«Межпоселенческая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0"/>
              </w:rPr>
              <w:t>20 000,00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hd w:fill="FFFFFF" w:val="clear"/>
              </w:rPr>
              <w:t>Формирование у подрастающего поколения трудовых навыков;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•опыта работы в коллективе;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•определиться с будущей профессией и сориентироваться на рынке труда;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•профилактика безнадзорности и правонарушений среди несовершеннолетних.</w:t>
            </w:r>
          </w:p>
          <w:p>
            <w:pPr>
              <w:pStyle w:val="Style14"/>
              <w:widowControl w:val="false"/>
              <w:spacing w:before="0" w:after="0"/>
              <w:jc w:val="both"/>
              <w:rPr/>
            </w:pPr>
            <w:r>
              <w:rPr>
                <w:rFonts w:cs="PT Astra Serif" w:ascii="PT Astra Serif" w:hAnsi="PT Astra Serif"/>
                <w:sz w:val="20"/>
              </w:rPr>
              <w:t>В</w:t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иды работ: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уборка, благоустройство и озеленение территорий;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обслуживание культурно-массовых мероприятий;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рекламная и курьерская деятельность;</w:t>
            </w:r>
            <w:r>
              <w:rPr>
                <w:rFonts w:cs="PT Astra Serif" w:ascii="PT Astra Serif" w:hAnsi="PT Astra Serif"/>
                <w:sz w:val="20"/>
              </w:rPr>
              <w:br/>
            </w:r>
            <w:r>
              <w:rPr>
                <w:rFonts w:cs="PT Astra Serif" w:ascii="PT Astra Serif" w:hAnsi="PT Astra Serif"/>
                <w:sz w:val="20"/>
                <w:shd w:fill="FFFFFF" w:val="clear"/>
              </w:rPr>
              <w:t>- другие доступные виды трудовой деятельности на усмотрение работодателя.</w:t>
            </w:r>
          </w:p>
        </w:tc>
      </w:tr>
      <w:tr>
        <w:trPr>
          <w:trHeight w:val="416" w:hRule="atLeast"/>
          <w:cantSplit w:val="true"/>
        </w:trPr>
        <w:tc>
          <w:tcPr>
            <w:tcW w:w="162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3. Содержание и обслуживание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«Техническое обслуживание учреждений 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7 363 350,10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8181942,24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27857,23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21743,27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«Межпоселенческая библиотека»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5011,97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  <w:t>8236554,71</w:t>
            </w:r>
          </w:p>
        </w:tc>
        <w:tc>
          <w:tcPr>
            <w:tcW w:w="28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62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Раздел 4. Содержание и обслуживание аппарата управления (Отдел культуры)</w:t>
            </w:r>
          </w:p>
        </w:tc>
      </w:tr>
      <w:tr>
        <w:trPr>
          <w:trHeight w:val="735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551 008,09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568 400,00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1208020,10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>
        <w:trPr>
          <w:trHeight w:val="255" w:hRule="atLeast"/>
          <w:cantSplit w:val="true"/>
        </w:trPr>
        <w:tc>
          <w:tcPr>
            <w:tcW w:w="133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left" w:pos="0" w:leader="none"/>
                <w:tab w:val="left" w:pos="8931" w:leader="none"/>
              </w:tabs>
              <w:snapToGrid w:val="false"/>
              <w:rPr>
                <w:rFonts w:ascii="Times New Roman" w:hAnsi="Times New Roman" w:cs="Times New Roman"/>
                <w:b/>
                <w:b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«Межпоселенческая библиотека»*,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МБУ ДО «Тереньгульская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14 319 050,93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sz w:val="20"/>
              </w:rPr>
              <w:t>16 130 588,54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3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25 737 263,35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rPr/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jc w:val="center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0"/>
              </w:rPr>
              <w:t>73 986 463,35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snapToGrid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8077" w:leader="none"/>
        </w:tabs>
        <w:rPr/>
      </w:pPr>
      <w:r>
        <w:rPr>
          <w:b/>
          <w:sz w:val="20"/>
          <w:szCs w:val="24"/>
        </w:rPr>
        <w:t>* - участвуют в мероприятиях по согласованию.</w:t>
      </w:r>
    </w:p>
    <w:p>
      <w:p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b/>
          <w:b/>
          <w:sz w:val="20"/>
          <w:szCs w:val="24"/>
        </w:rPr>
      </w:pPr>
      <w:r>
        <w:rPr>
          <w:b/>
          <w:sz w:val="20"/>
          <w:szCs w:val="24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>
        <w:rFonts w:cs="PT Astra Serif" w:ascii="PT Astra Serif" w:hAnsi="PT Astra Serif"/>
        <w:sz w:val="36"/>
        <w:szCs w:val="36"/>
      </w:rPr>
      <w:t>0657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f0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3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6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CF9B-6E84-48ED-B2CC-EDD06D53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LibreOffice/7.0.6.2$Linux_X86_64 LibreOffice_project/00$Build-2</Application>
  <AppVersion>15.0000</AppVersion>
  <Pages>7</Pages>
  <Words>851</Words>
  <Characters>6450</Characters>
  <CharactersWithSpaces>7243</CharactersWithSpaces>
  <Paragraphs>174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2023-06-01T09:40:00Z</dcterms:created>
  <dc:creator>User</dc:creator>
  <dc:description/>
  <dc:language>ru-RU</dc:language>
  <cp:lastModifiedBy/>
  <cp:lastPrinted>2022-11-09T06:20:00Z</cp:lastPrinted>
  <dcterms:modified xsi:type="dcterms:W3CDTF">2024-01-12T08:02:26Z</dcterms:modified>
  <cp:revision>16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