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240" w:before="0" w:after="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spacing w:lineRule="auto" w:line="240" w:before="0" w:after="0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  <w:szCs w:val="36"/>
        </w:rPr>
        <w:t>ПОСТАНОВЛЕНИЕ</w:t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spacing w:val="144"/>
        </w:rPr>
      </w:pPr>
      <w:r>
        <w:rPr>
          <w:b/>
          <w:spacing w:val="144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spacing w:val="144"/>
        </w:rPr>
      </w:pPr>
      <w:r>
        <w:rPr>
          <w:b/>
          <w:spacing w:val="144"/>
        </w:rPr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16 декабря </w:t>
      </w:r>
      <w:r>
        <w:rPr>
          <w:rFonts w:ascii="PT Astra Serif" w:hAnsi="PT Astra Serif"/>
          <w:color w:val="000000"/>
          <w:sz w:val="28"/>
          <w:szCs w:val="28"/>
        </w:rPr>
        <w:t xml:space="preserve"> 2024 г.</w:t>
        <w:tab/>
        <w:tab/>
        <w:tab/>
        <w:tab/>
        <w:tab/>
        <w:tab/>
        <w:t xml:space="preserve">             №</w:t>
      </w:r>
      <w:r>
        <w:rPr>
          <w:rFonts w:ascii="PT Astra Serif" w:hAnsi="PT Astra Serif"/>
          <w:color w:val="000000"/>
          <w:sz w:val="28"/>
          <w:szCs w:val="28"/>
        </w:rPr>
        <w:t>746</w:t>
      </w:r>
    </w:p>
    <w:p>
      <w:pPr>
        <w:pStyle w:val="Normal"/>
        <w:spacing w:lineRule="auto" w:line="240" w:before="0" w:after="0"/>
        <w:contextualSpacing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Экз. № ____</w:t>
      </w:r>
    </w:p>
    <w:p>
      <w:pPr>
        <w:pStyle w:val="Normal"/>
        <w:spacing w:lineRule="auto" w:line="240" w:before="0" w:after="0"/>
        <w:contextualSpacing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contextualSpacing/>
        <w:jc w:val="center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р.п. Тереньга</w:t>
      </w:r>
    </w:p>
    <w:p>
      <w:pPr>
        <w:pStyle w:val="Normal"/>
        <w:spacing w:lineRule="auto" w:line="240" w:before="0" w:after="0"/>
        <w:contextualSpacing/>
        <w:rPr>
          <w:rFonts w:ascii="PT Astra Serif" w:hAnsi="PT Astra Serif"/>
          <w:color w:val="000000"/>
          <w:sz w:val="36"/>
          <w:szCs w:val="36"/>
        </w:rPr>
      </w:pPr>
      <w:r>
        <w:rPr>
          <w:rFonts w:ascii="PT Astra Serif" w:hAnsi="PT Astra Serif"/>
          <w:color w:val="000000"/>
          <w:sz w:val="36"/>
          <w:szCs w:val="36"/>
        </w:rPr>
      </w:r>
    </w:p>
    <w:p>
      <w:pPr>
        <w:pStyle w:val="ConsPlusTitle"/>
        <w:spacing w:before="0" w:after="200"/>
        <w:contextualSpacing/>
        <w:jc w:val="center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Об утверждении муниципальной программы «Развитие транспортной системы в муниципальном образовании «Тереньгульское городское поселение»</w:t>
      </w:r>
    </w:p>
    <w:p>
      <w:pPr>
        <w:pStyle w:val="ConsPlusNormal"/>
        <w:spacing w:before="0" w:after="200"/>
        <w:contextualSpacing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ConsPlusNormal"/>
        <w:spacing w:before="0" w:after="200"/>
        <w:contextualSpacing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ConsPlusNormal"/>
        <w:spacing w:before="0" w:after="200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В целях реализации государственной политики в сфере развития транспортной инфраструктуры и дорог, руководствуясь постановлением Администрации муниципального образования «Тереньгульский район» </w:t>
      </w:r>
      <w:r>
        <w:rPr>
          <w:rFonts w:cs="PT Astra Serif" w:ascii="PT Astra Serif" w:hAnsi="PT Astra Serif"/>
          <w:color w:val="000000"/>
          <w:sz w:val="28"/>
          <w:szCs w:val="28"/>
          <w:shd w:fill="FFFFFF" w:val="clear"/>
        </w:rPr>
        <w:t>от 17.10.2024 №603 «Об утверждении Правил разработки, реализации и оценки эффективности реализации муниципальных программ муниципального образования «Тереньгульское городское поселение» Тереньгульского района Ульяновской области, а также осуществления контроля за ходом реализации»</w:t>
      </w:r>
      <w:r>
        <w:rPr>
          <w:rFonts w:ascii="PT Astra Serif" w:hAnsi="PT Astra Serif"/>
          <w:color w:val="000000"/>
          <w:sz w:val="28"/>
          <w:szCs w:val="28"/>
        </w:rPr>
        <w:t>, администрация муниципального образования «Тереньгульский район»           п о с т а н о в л я е т: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1. Утвердить прилагаемую муниципальную программу «Развитие транспортной системы в муниципальном образовании «Тереньгульское городское поселение».</w:t>
      </w:r>
    </w:p>
    <w:p>
      <w:pPr>
        <w:pStyle w:val="ConsPlusNormal"/>
        <w:spacing w:before="0" w:after="2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  <w:shd w:fill="auto" w:val="clear"/>
        </w:rPr>
        <w:t xml:space="preserve">2. 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>Отделу бухгалтерского учета, планирования и отчетности Администрации муниципального образования «Тереньгульский район» предусмотреть в бюджете муниципального образования «Тереньгульское городское поселение» финансовые средства на реализацию настоящей программы.</w:t>
      </w:r>
    </w:p>
    <w:p>
      <w:pPr>
        <w:pStyle w:val="ConsPlusNormal"/>
        <w:spacing w:before="0" w:after="200"/>
        <w:contextualSpacing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ab/>
        <w:t>3. Настоящее постановление вступает в силу с 01.01.2025 и подлежит опубликованию в информационном бюллетене «Вестник района».</w:t>
      </w:r>
    </w:p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Глава администрации</w:t>
        <w:tab/>
        <w:tab/>
        <w:tab/>
        <w:tab/>
        <w:tab/>
        <w:tab/>
        <w:tab/>
        <w:t xml:space="preserve">      муниципального образования</w:t>
        <w:tab/>
        <w:tab/>
        <w:tab/>
        <w:tab/>
        <w:tab/>
        <w:t xml:space="preserve">    «Тереньгульский район»                 </w:t>
        <w:tab/>
        <w:tab/>
        <w:tab/>
        <w:tab/>
        <w:tab/>
        <w:t xml:space="preserve">      Г.А. Шерстнев</w:t>
      </w:r>
    </w:p>
    <w:p>
      <w:pPr>
        <w:pStyle w:val="Normal"/>
        <w:spacing w:lineRule="auto" w:line="240" w:before="0" w:after="0"/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ConsPlusNormal"/>
        <w:spacing w:before="0" w:after="200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spacing w:before="0" w:after="200"/>
        <w:contextualSpacing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36"/>
          <w:szCs w:val="36"/>
        </w:rPr>
        <w:t>0773</w:t>
      </w:r>
      <w:r>
        <w:br w:type="page"/>
      </w:r>
    </w:p>
    <w:p>
      <w:pPr>
        <w:pStyle w:val="Standard"/>
        <w:ind w:left="5664" w:hanging="0"/>
        <w:jc w:val="right"/>
        <w:rPr/>
      </w:pPr>
      <w:r>
        <w:rPr>
          <w:rFonts w:cs="PT Astra Serif" w:ascii="PT Astra Serif" w:hAnsi="PT Astra Serif"/>
          <w:sz w:val="28"/>
          <w:szCs w:val="28"/>
        </w:rPr>
        <w:t xml:space="preserve">Приложение </w:t>
      </w:r>
    </w:p>
    <w:p>
      <w:pPr>
        <w:pStyle w:val="Standard"/>
        <w:ind w:left="5664" w:hanging="0"/>
        <w:jc w:val="right"/>
        <w:rPr/>
      </w:pPr>
      <w:r>
        <w:rPr>
          <w:rFonts w:cs="PT Astra Serif" w:ascii="PT Astra Serif" w:hAnsi="PT Astra Serif"/>
          <w:sz w:val="28"/>
          <w:szCs w:val="28"/>
        </w:rPr>
        <w:t xml:space="preserve">к постановлению Администрации </w:t>
      </w:r>
    </w:p>
    <w:p>
      <w:pPr>
        <w:pStyle w:val="Standard"/>
        <w:ind w:left="5664" w:hanging="0"/>
        <w:jc w:val="right"/>
        <w:rPr/>
      </w:pPr>
      <w:r>
        <w:rPr>
          <w:rFonts w:cs="PT Astra Serif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Standard"/>
        <w:ind w:left="5664" w:hanging="0"/>
        <w:jc w:val="right"/>
        <w:rPr/>
      </w:pPr>
      <w:r>
        <w:rPr>
          <w:rFonts w:cs="PT Astra Serif" w:ascii="PT Astra Serif" w:hAnsi="PT Astra Serif"/>
          <w:sz w:val="28"/>
          <w:szCs w:val="28"/>
        </w:rPr>
        <w:t>«Тереньгульский район»</w:t>
      </w:r>
    </w:p>
    <w:p>
      <w:pPr>
        <w:pStyle w:val="Standard"/>
        <w:ind w:left="5664" w:hanging="0"/>
        <w:jc w:val="right"/>
        <w:rPr/>
      </w:pPr>
      <w:r>
        <w:rPr>
          <w:rFonts w:cs="PT Astra Serif" w:ascii="PT Astra Serif" w:hAnsi="PT Astra Serif"/>
          <w:sz w:val="28"/>
          <w:szCs w:val="28"/>
        </w:rPr>
        <w:t>№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>746</w:t>
      </w:r>
      <w:r>
        <w:rPr>
          <w:rFonts w:cs="PT Astra Serif" w:ascii="PT Astra Serif" w:hAnsi="PT Astra Serif"/>
          <w:sz w:val="28"/>
          <w:szCs w:val="28"/>
        </w:rPr>
        <w:t xml:space="preserve"> от </w:t>
      </w:r>
      <w:r>
        <w:rPr>
          <w:rFonts w:cs="PT Astra Serif" w:ascii="PT Astra Serif" w:hAnsi="PT Astra Serif"/>
          <w:sz w:val="28"/>
          <w:szCs w:val="28"/>
        </w:rPr>
        <w:t>16 декабря 2024</w:t>
      </w:r>
    </w:p>
    <w:p>
      <w:pPr>
        <w:pStyle w:val="Standard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Муниципальная программа </w:t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«Развитие транспортной системы в муниципальном образовании «Тереньгульское городское поселение»</w:t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9"/>
          <w:tab w:val="left" w:pos="993" w:leader="none"/>
        </w:tabs>
        <w:spacing w:lineRule="auto" w:line="240" w:before="0" w:after="0"/>
        <w:ind w:right="62" w:firstLine="72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/>
          <w:bCs/>
          <w:color w:val="000000"/>
          <w:sz w:val="28"/>
          <w:szCs w:val="28"/>
        </w:rPr>
        <w:t>Стратегические приоритеты муниципальной программы «Развитие транспортной системы в муниципальном образовании «Тереньгульское городское поселение»</w:t>
      </w:r>
    </w:p>
    <w:p>
      <w:pPr>
        <w:pStyle w:val="ConsPlusTitle"/>
        <w:numPr>
          <w:ilvl w:val="0"/>
          <w:numId w:val="0"/>
        </w:numPr>
        <w:spacing w:before="0" w:after="200"/>
        <w:ind w:left="0" w:hanging="0"/>
        <w:contextualSpacing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>1. Оценка текущего состояния сферы транспортной системы в муниципальном образовании «Тереньгульское городское поселение»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Состояние транспортной системы является одним из ключевых факторов, обеспечивающих поступательное социально-экономическое развитие муниципального образования «Тереньгульское городское поселение».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 настоящее время перевозки пассажиров и грузов в муниципальном образовании «Тереньгульское городское поселение» осуществляются автомобильным транспортом. В целом состояние транспортного обслуживания может быть охарактеризовано как удовлетворительное.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Одной из важнейших составных частей транспортной системы в муниципальном образовании «Тереньгульское городское поселение» являются автомобильные дороги, от уровня транспортно-эксплуатационного состояния и развития сети которых во многом зависит решение задач обеспечения устойчивого экономического роста, улучшения условий осуществления предпринимательской деятельности и повышения уровня жизни населения. </w:t>
        <w:tab/>
        <w:t xml:space="preserve">Недостаточный уровень развития сети автомобильных дорог общего пользования местного значения в муниципальном образовании «Тереньгульское городское поселение», неполное их соответствие нормативным требованиям, а равно ненадлежащее состояние дорожной инфраструктуры являются наиболее существенными инфраструктурными ограничениями темпов социально-экономического развития </w:t>
      </w:r>
      <w:r>
        <w:rPr>
          <w:rFonts w:eastAsia="Calibri" w:cs="" w:ascii="PT Astra Serif" w:hAnsi="PT Astra Serif"/>
          <w:color w:val="000000"/>
          <w:kern w:val="0"/>
          <w:sz w:val="28"/>
          <w:szCs w:val="28"/>
          <w:lang w:val="ru-RU" w:eastAsia="en-US" w:bidi="ar-SA"/>
        </w:rPr>
        <w:t>поселения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Муниципальная программа представляет собой комплекс социально-экономических, организационных и других мероприятий, взаимоувязанных по ресурсам, исполнителям, срокам реализации и направленных на устойчивое развитие транспортной системы в муниципальном образовании «Тереньгульское городское поселение».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Развитие транспортной системы является необходимым условием для экономического роста. Анализ отдельных аспектов несоответствий уровня развития транспортной системы потребностям социально-экономического развития 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hi-IN"/>
        </w:rPr>
        <w:t>поселеня</w:t>
      </w:r>
      <w:r>
        <w:rPr>
          <w:rFonts w:ascii="PT Astra Serif" w:hAnsi="PT Astra Serif"/>
          <w:color w:val="000000"/>
          <w:sz w:val="28"/>
          <w:szCs w:val="28"/>
        </w:rPr>
        <w:t xml:space="preserve"> показывает, что несоответствия не являются отдельными отраслевыми проблемами, а носят комплексный характер. Целесообразность решения этой проблемы определяется следующими факторами: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комплексный характер проблемы, обусловленный сложной структурой транспортной отрасли и отрасли дорожного хозяйства;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высокая капиталоемкость и длительные сроки окупаемости инвестиционных проектов развития транспортной инфраструктуры, определяющие их низкую инвестиционную привлекательность для бизнеса и необходимость активного участия (в том числе финансового) государственных органов власти в их реализации;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возможность концентрации ресурсов на приоритетных задачах, направленных на решение системной проблемы в целом и создание условий для комплексного развития транспорта и дорожного хозяйства;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необходимость системного подхода к формированию комплекса взаимосогласованных по ресурсам и срокам инвестиционных проектов развития транспортной системы, реализация которых не только позволит получить отраслевой эффект, но и приведет к существенным позитивным социально-экономическим последствиям для общества в целом;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возможность внедрения проектного механизма управления программными мероприятиями, который позволит скоординировать деятельность исполнительных органов, органов местного самоуправления, других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Реализация новой муниципальной программы сохраняет преемственность целей и задач предыдущей муниципальной программы, а также позволяет решать перечисленные проблемы посредством применения предлагаемых инструментов.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Автомобильные дороги являются важнейшей составной частью транспортной системы муниципального образования «Тереньгульское городское поселение», Ульяновской области и всей транспортной системы Российской Федерации.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Автомобильный транспорт, как один из самых распространенных мобильных видов транспорта, требует наличия развитой сети автомобильных дорог с комплексом различных инженерных сооружений на них.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Муниципальные автомобильные дороги обеспечивают транспортное сообщение в пределах границ населенных пунктов муниципального образования «Тереньгульское городское поселение». В настоящее время протяженность автомобильных дорог общего пользования местного значения в муниципальном образовании «Тереньгульское городское поселение» составляет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shd w:fill="auto" w:val="clear"/>
          <w:lang w:val="ru-RU" w:eastAsia="zh-CN" w:bidi="hi-IN"/>
        </w:rPr>
        <w:t>96,05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 км.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От уровня транспортно-эксплуатационного состояния и развития автомобильных дорог общего пользования местного значения, обеспечивающих связь между населёнными пунктами, соседними районами и областями, во многом зависит решение задач достижения устойчивого экономического роста района, улучшения условий для предпринимательской деятельности и повышения качества жизни населения. Неразвитость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появлением ограничений на поездки. В связи с этим, в значительной мере сдерживается развитие сельских населённых пунктов, сокращается сельскохозяйственное производство, происходит отток населения, опустошение деревень и сёл.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В течение длительного периода темпы износа автомобильных дорог были выше темпов восстановления и развития. Ускоренный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Требуется особое внимание к работам по содержанию автомобильных дорог, включающих в себя своевременное устранение ямочности и других дефектов дорожных покрытий, нанесение дорожной разметки, установка и замена ограждений и другие работы, связанные с обеспечением безопасности дорожного движения, удобства эксплуатации дорог и увеличение срока службы их покрытий.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Не все дороги имеют асфальтобетонное покрытие, в результате чего снижается пропускная способность. Развитие дорожной инфраструктуры невозможно при недостаточном поступлении финансовых средств.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Недостаточный уровень развития дорожной сети приводит к значительным экономическим потерям и является одним из существенных ограничений социально-экономического развития муниципального образования «Тереньгульское городское поселение».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Для обеспечения нормального функционирования транспортной системы муниципального образования «Тереньгульское городское поселение» необходимо ежегодно проводить комплекс работ по содержанию, ремонту автомобильных дорог, с целью обеспечения безопасного и бесперебойного движения автотранспорта.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Безопасность дорожного движения является одной из важных социально-экономических и демографических задач </w:t>
      </w:r>
      <w:r>
        <w:rPr>
          <w:rFonts w:eastAsia="Times New Roman" w:cs="Times New Roman" w:ascii="PT Astra Serif" w:hAnsi="PT Astra Serif"/>
          <w:color w:val="000000"/>
          <w:kern w:val="2"/>
          <w:sz w:val="28"/>
          <w:szCs w:val="28"/>
          <w:lang w:val="ru-RU" w:eastAsia="zh-CN" w:bidi="hi-IN"/>
        </w:rPr>
        <w:t>поселения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Аварийность на автомобильном транспорте наносит огромный материальный и моральный ущерб как обществу, так и отдельным гражданам. Дорожно-транспортный травматизм приводит к исключению из сферы производства людей трудоспособного возраста, в результате ДТП гибнут и становятся инвалидами дети.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В соответствии с Концепцией демографической политики Российской Федерации на период до 2025 года, утверждённой Указом Президента Российской Федерации от 09.10.2007 № 1351 «Об утверждении Концепции демографической политики Российской Федерации на период до 2025 года», одним из главных направлений демографической политики в стране является снижение смертности населения, прежде всего высокой смертности мужчин в трудоспособном возрасте от внешних причин, в том числе в результате ДТП.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В целях сохранения положительной динамики в области содержания автомобильных дорог общего пользования местного значения, мостов и иных искусственных дорожных сооружений на нормативном уровне, допустимом для обеспечения их сохранности и повышения безопасности дорожного движения разработаны мероприятия, реализация которых будет осуществляться в рамках настоящей муниципальной Программы.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Цели муниципальной Программы достигаются путём реализации комплекса мероприятий, направленных на строительство, реконструкцию, капитальный ремонт, ремонт автомобильных дорог общего пользования местного значения, мостов и иных искусственных дорожных сооружений, на повышение правосознания и предупреждение опасного поведения участников дорожного движения, на совершенствование организации движения транспортных средств и пешеходов за счёт организационно-планировочных и инженерных мер.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 целом имеется ряд проблем, определяемых как условиями экономики муниципального образования «Тереньгульское городское поселение», так и кризисными осложнениями экономической ситуации в целом, среди которых следует отметить следующие: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1) недостаток денежных средств, необходимых для развития транспортной инфраструктуры, в том числе расширения её масштабов;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2) недостаток квалифицированных кадров, знаний и информации, необходимых для осуществления дорожной деятельности;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З) недостаточные возможности стимулирования, преодоления барьеров «вхождения» на новые рынки, обеспечения конкурентоспособности продукции;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4) недостаточные возможности поиска новых деловых партнёров и формирования деловых связей.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"/>
        <w:spacing w:before="0" w:after="20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>2. Описание приоритетов и целей муниципальной программы в сфере дорожной деятельности и пассажирских перевозок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2.1. Основными приоритетами программы в сфере дорожной деятельности и пассажирских перевозок являются: 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Создание условий устойчивой и безопасной работы автомобильного транспорта, направленного на удовлетворение потребности всех слоев населения при эксплуатации дорог.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2.2. Стратегической целью является: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 развитие дорожной сети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- создание условий устойчивой и безопасной работы автомобильного транспорта, направленного на удовлетворение потребности всех слоев населения при эксплуатации дорог.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</w:p>
    <w:p>
      <w:pPr>
        <w:pStyle w:val="ConsPlusNormal"/>
        <w:spacing w:before="0" w:after="29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>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муниципальной программы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Муниципальная программа взаимосвязана с показателями  государственной программы Ульяновской области "Развитие транспортной системы в Ульяновской области", утвержденной постановлением Правительства Ульяновской области от 30.11.2023 N 32/642-П "Об утверждении государственной программы Ульяновской области "Развитие транспортной системы в Ульяновской области".</w:t>
      </w:r>
    </w:p>
    <w:p>
      <w:pPr>
        <w:pStyle w:val="ConsPlusNormal"/>
        <w:spacing w:before="0" w:after="20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"/>
        <w:spacing w:before="0" w:after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ConsPlusNormal"/>
        <w:spacing w:before="0" w:after="0"/>
        <w:contextualSpacing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4. Описание задач, осуществляемых муниципальным образованием «Тереньгульское городское поселение» в сфере дорожной деятельности  и пассажирских перевозок. Способы их эффективного решения.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4.1. Задачами в сфере транспортной системы и пассажирских перевозок в муниципальном образовании «Тереньгульское городское поселение», являются: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1) повышение качества дорожной сети;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2) приведение в нормативное состояние дорог и искусственных сооружений на автомобильных дорогах местного значения;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3) повышение доли отечественных оборудования, иных товаров, работ, услуг в общем объеме закупок, осуществляемых в целях дорожной деятельности;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4) применение новых технологий в дорожной отрасли;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5) повышение безопасности участников дорожного движения;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6) обеспечение нормативной дорожной деятельности;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7) выполнение полномочий, возложенных на Управление строительства, архитектуры и дорожной деятельности муниципального образования «Тереньгульский район» и МБУ «Благоустройство».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4.2. Эффективными способами решения указанных задач являются: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1) реализация мероприятий, направленных на развитие дорожной сети в муниципального образования «Тереньгульское городское поселение»;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2) повышение качества улично-дорожной сети и повышения качества автомобильных дорог местного значения;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 повышение уровня транспортной обеспеченности населенных пунктов на основе ускоренного развития дорожной сети и повышения уровня транспортного обслуживания пассажиров;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8"/>
          <w:szCs w:val="28"/>
        </w:rPr>
        <w:t>4) оказание поддержки юридическим и физическим лицам, осуществляющим перевозки пассажиров и багажа, в том числе по регулируемым тарифам.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widowControl w:val="false"/>
        <w:spacing w:before="0" w:after="0"/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widowControl w:val="false"/>
        <w:spacing w:before="0" w:after="0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Создание транспортной инфраструктуры общего пользования в муниципальном образовании «Тереньгульское городское поселение»</w:t>
      </w:r>
      <w:r>
        <w:br w:type="page"/>
      </w:r>
    </w:p>
    <w:p>
      <w:pPr>
        <w:pStyle w:val="ConsPlusNormal"/>
        <w:jc w:val="center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ПАСПОРТ</w:t>
      </w:r>
    </w:p>
    <w:p>
      <w:pPr>
        <w:pStyle w:val="ConsPlusNormal"/>
        <w:jc w:val="center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муниципальной программы муниципального образования «Тереньгульское городское поселение»</w:t>
      </w:r>
    </w:p>
    <w:p>
      <w:pPr>
        <w:pStyle w:val="ConsPlusNormal"/>
        <w:jc w:val="center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u w:val="single"/>
        </w:rPr>
        <w:t>«Развитие транспортной системы в муниципальном образовании «Тереньгульское городское поселение»</w:t>
      </w:r>
    </w:p>
    <w:p>
      <w:pPr>
        <w:pStyle w:val="ConsPlusNormal"/>
        <w:jc w:val="center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(наименование муниципальной программы)</w:t>
      </w:r>
    </w:p>
    <w:p>
      <w:pPr>
        <w:pStyle w:val="ConsPlusNormal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tbl>
      <w:tblPr>
        <w:tblW w:w="9213" w:type="dxa"/>
        <w:jc w:val="lef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noVBand="0" w:val="0000" w:noHBand="0" w:lastColumn="0" w:firstColumn="0" w:lastRow="0" w:firstRow="0"/>
      </w:tblPr>
      <w:tblGrid>
        <w:gridCol w:w="3795"/>
        <w:gridCol w:w="5417"/>
      </w:tblGrid>
      <w:tr>
        <w:trPr/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Первый заместитель Главы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eastAsia="ar-SA"/>
              </w:rPr>
              <w:t>Муниципальное бюджетное учреждение «Благоустройство» муниципального образования «Тереньгульское городское поселение» Тереньгульского района Ульяновской области (далее - МБУ «Благоустройство») (по согласованию)</w:t>
            </w:r>
          </w:p>
        </w:tc>
      </w:tr>
      <w:tr>
        <w:trPr/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2025-2030 гг.</w:t>
            </w:r>
          </w:p>
        </w:tc>
      </w:tr>
      <w:tr>
        <w:trPr/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Создание транспортной инфраструктуры общего пользования в муниципальном образовании «Тереньгульское городское поселение»</w:t>
            </w:r>
          </w:p>
        </w:tc>
      </w:tr>
      <w:tr>
        <w:trPr/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доля автомобильных дорог общего пользования местного значения, отвечающих нормативным требованиям к транспортно-эксплуатационным показателям, в общем количестве автомобильных дорог общего пользования местного значения;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количество приведенных в нормативное состояние искусственных сооружений на автомобильных дорогах местного значения на территории муниципального образования «Тереньгульское городское поселение»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- объем пассажирских перевозок на территории муниципального образования «Тереньгульское городское поселение»</w:t>
            </w:r>
          </w:p>
        </w:tc>
      </w:tr>
      <w:tr>
        <w:trPr/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Общий объём бюджетных ассигнований на финансовое обеспечение реализации Программы составляет </w:t>
            </w:r>
            <w:r>
              <w:rPr>
                <w:rFonts w:eastAsia="Times New Roman" w:cs="Times New Roman" w:ascii="PT Astra Serif" w:hAnsi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  <w:t>59357,5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 тыс.руб</w:t>
            </w:r>
            <w:r>
              <w:rPr>
                <w:rFonts w:eastAsia="Calibri" w:cs="" w:ascii="PT Astra Serif" w:hAnsi="PT Astra Serif" w:cstheme="minorBidi" w:eastAsiaTheme="minorHAnsi"/>
                <w:color w:val="000000"/>
                <w:sz w:val="28"/>
                <w:szCs w:val="28"/>
                <w:shd w:fill="auto" w:val="clear"/>
                <w:lang w:eastAsia="en-US"/>
              </w:rPr>
              <w:t>.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2025 год – </w:t>
            </w:r>
            <w:r>
              <w:rPr>
                <w:rFonts w:eastAsia="Times New Roman" w:cs="Times New Roman" w:ascii="PT Astra Serif" w:hAnsi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  <w:t>24268,3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 тыс. рублей,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2026 год – </w:t>
            </w:r>
            <w:r>
              <w:rPr>
                <w:rFonts w:eastAsia="Times New Roman" w:cs="Times New Roman" w:ascii="PT Astra Serif" w:hAnsi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  <w:t>6884,4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 тыс. рублей,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2027 год – </w:t>
            </w:r>
            <w:r>
              <w:rPr>
                <w:rFonts w:eastAsia="Times New Roman" w:cs="Times New Roman" w:ascii="PT Astra Serif" w:hAnsi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  <w:t>7177,5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 тыс. рублей,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2028 год – </w:t>
            </w:r>
            <w:r>
              <w:rPr>
                <w:rFonts w:eastAsia="Times New Roman" w:cs="Times New Roman" w:ascii="PT Astra Serif" w:hAnsi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  <w:t>7009,1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 тыс. рублей,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2029 год – </w:t>
            </w:r>
            <w:r>
              <w:rPr>
                <w:rFonts w:eastAsia="Times New Roman" w:cs="Times New Roman" w:ascii="PT Astra Serif" w:hAnsi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  <w:t>7009,1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 тыс. рублей,</w:t>
            </w:r>
          </w:p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2030 год – </w:t>
            </w:r>
            <w:r>
              <w:rPr>
                <w:rFonts w:eastAsia="Times New Roman" w:cs="Times New Roman" w:ascii="PT Astra Serif" w:hAnsi="PT Astra Serif"/>
                <w:color w:val="000000"/>
                <w:kern w:val="2"/>
                <w:sz w:val="28"/>
                <w:szCs w:val="28"/>
                <w:shd w:fill="auto" w:val="clear"/>
                <w:lang w:val="ru-RU" w:eastAsia="zh-CN" w:bidi="hi-IN"/>
              </w:rPr>
              <w:t>7009,1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fill="auto" w:val="clear"/>
              </w:rPr>
              <w:t xml:space="preserve"> тыс. рублей.</w:t>
            </w:r>
          </w:p>
        </w:tc>
      </w:tr>
      <w:tr>
        <w:trPr/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Связь муниципальной программы с национальными целями развития Российской Федерации / государственными программами Ульяновской области</w:t>
            </w:r>
          </w:p>
        </w:tc>
        <w:tc>
          <w:tcPr>
            <w:tcW w:w="5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 Правительства Ульяновской области от 30.11.2023 г. № 32/642-П «Об утверждении муниципальной программы Ульяновской области «Развитие транспортной системы в Ульяновской области»</w:t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widowControl w:val="false"/>
        <w:spacing w:before="0" w:after="0"/>
        <w:contextualSpacing/>
        <w:jc w:val="right"/>
        <w:rPr>
          <w:rFonts w:ascii="PT Astra Serif" w:hAnsi="PT Astra Serif"/>
          <w:sz w:val="24"/>
          <w:szCs w:val="24"/>
        </w:rPr>
      </w:pPr>
      <w:bookmarkStart w:id="0" w:name="h_00000000000000000000000000000000000000"/>
      <w:bookmarkEnd w:id="0"/>
      <w:r>
        <w:rPr>
          <w:rFonts w:ascii="PT Astra Serif" w:hAnsi="PT Astra Serif"/>
          <w:bCs/>
          <w:color w:val="000000"/>
          <w:sz w:val="24"/>
          <w:szCs w:val="24"/>
        </w:rPr>
        <w:t>Приложение № 2</w:t>
      </w:r>
    </w:p>
    <w:p>
      <w:pPr>
        <w:pStyle w:val="Normal"/>
        <w:widowControl w:val="false"/>
        <w:spacing w:before="0" w:after="0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ab/>
        <w:tab/>
        <w:tab/>
        <w:tab/>
        <w:tab/>
        <w:tab/>
        <w:tab/>
        <w:t xml:space="preserve">        к муниципальной программе</w:t>
      </w:r>
    </w:p>
    <w:p>
      <w:pPr>
        <w:pStyle w:val="ConsPlus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</w:r>
    </w:p>
    <w:p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ПЕРЕЧЕНЬ ПОКАЗАТЕЛЕЙ</w:t>
      </w:r>
    </w:p>
    <w:p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муниципальной программы «Развитие транспортной системы в муниципальном образовании «Тереньгульское городское поселение»</w:t>
      </w:r>
    </w:p>
    <w:p>
      <w:pPr>
        <w:pStyle w:val="ConsPlusNormal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</w:r>
    </w:p>
    <w:tbl>
      <w:tblPr>
        <w:tblW w:w="14975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9"/>
        <w:gridCol w:w="2042"/>
        <w:gridCol w:w="682"/>
        <w:gridCol w:w="937"/>
        <w:gridCol w:w="995"/>
        <w:gridCol w:w="697"/>
        <w:gridCol w:w="712"/>
        <w:gridCol w:w="677"/>
        <w:gridCol w:w="673"/>
        <w:gridCol w:w="676"/>
        <w:gridCol w:w="698"/>
        <w:gridCol w:w="683"/>
        <w:gridCol w:w="690"/>
        <w:gridCol w:w="2215"/>
        <w:gridCol w:w="1705"/>
        <w:gridCol w:w="500"/>
      </w:tblGrid>
      <w:tr>
        <w:trPr/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2"/>
                <w:szCs w:val="22"/>
              </w:rPr>
              <w:t>Уровень показателя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Признак возрастания убывания значения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Единица измерения значения показателя (по ОКЕИ)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4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Ответственный за достижение значений показателя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Связь с показателями</w:t>
            </w:r>
          </w:p>
        </w:tc>
      </w:tr>
      <w:tr>
        <w:trPr/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rPr>
                <w:rFonts w:ascii="PT Astra Serif" w:hAnsi="PT Astra Serif"/>
                <w:b/>
                <w:b/>
                <w:bCs/>
                <w:color w:val="000000"/>
                <w:sz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</w:r>
          </w:p>
        </w:tc>
        <w:tc>
          <w:tcPr>
            <w:tcW w:w="20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bCs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szCs w:val="20"/>
              </w:rPr>
            </w:r>
          </w:p>
        </w:tc>
        <w:tc>
          <w:tcPr>
            <w:tcW w:w="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napToGrid w:val="false"/>
              <w:rPr>
                <w:rFonts w:ascii="PT Astra Serif" w:hAnsi="PT Astra Serif" w:cs="Times New Roman"/>
                <w:bCs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szCs w:val="20"/>
              </w:rPr>
            </w:r>
          </w:p>
        </w:tc>
        <w:tc>
          <w:tcPr>
            <w:tcW w:w="9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0"/>
                <w:szCs w:val="20"/>
              </w:rPr>
            </w:r>
          </w:p>
        </w:tc>
        <w:tc>
          <w:tcPr>
            <w:tcW w:w="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rPr>
                <w:rFonts w:ascii="PT Astra Serif" w:hAnsi="PT Astra Serif"/>
                <w:bCs/>
                <w:color w:val="000000"/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2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rPr>
                <w:rFonts w:ascii="PT Astra Serif" w:hAnsi="PT Astra Serif"/>
                <w:bCs/>
                <w:color w:val="000000"/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</w:r>
          </w:p>
        </w:tc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rPr>
                <w:rFonts w:ascii="PT Astra Serif" w:hAnsi="PT Astra Serif"/>
                <w:bCs/>
                <w:color w:val="000000"/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</w:r>
          </w:p>
        </w:tc>
        <w:tc>
          <w:tcPr>
            <w:tcW w:w="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rPr>
                <w:rFonts w:ascii="PT Astra Serif" w:hAnsi="PT Astra Serif"/>
                <w:bCs/>
                <w:color w:val="000000"/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</w:t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Стабильный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SimSun;宋体" w:cs="Times New Roman"/>
                <w:color w:val="000000"/>
                <w:sz w:val="24"/>
                <w:szCs w:val="24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стабильный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SimSun;宋体" w:cs="Times New Roman" w:ascii="Times New Roman" w:hAnsi="Times New Roman"/>
                <w:color w:val="000000"/>
                <w:sz w:val="24"/>
                <w:szCs w:val="24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район», МБУ «Благоустройство») (по согласованию)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eastAsia="SimSun;宋体" w:cs="Times New Roman"/>
                <w:color w:val="000000"/>
                <w:szCs w:val="20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/>
                <w:color w:val="000000"/>
                <w:szCs w:val="20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район»,МБУ «Благоустройство») (по согласованию)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МП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стабильный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%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  <w:lang w:val="en-US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95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eastAsia="SimSun;宋体" w:cs="Times New Roman"/>
                <w:color w:val="000000"/>
                <w:szCs w:val="20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/>
                <w:color w:val="000000"/>
                <w:szCs w:val="20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район»,МБУ «Благоустройство») (по согласованию)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3"/>
        <w:widowControl w:val="false"/>
        <w:spacing w:before="0" w:after="0"/>
        <w:ind w:left="6381" w:hanging="0"/>
        <w:contextualSpacing/>
        <w:jc w:val="right"/>
        <w:rPr>
          <w:sz w:val="24"/>
          <w:szCs w:val="24"/>
        </w:rPr>
      </w:pPr>
      <w:bookmarkStart w:id="1" w:name="P0052"/>
      <w:bookmarkEnd w:id="1"/>
      <w:r>
        <w:rPr>
          <w:rFonts w:eastAsia="Calibri" w:cs="" w:ascii="PT Astra Serif" w:hAnsi="PT Astra Serif" w:cstheme="minorBidi" w:eastAsiaTheme="minorHAnsi"/>
          <w:b w:val="false"/>
          <w:color w:val="000000"/>
          <w:sz w:val="24"/>
          <w:szCs w:val="24"/>
        </w:rPr>
        <w:t>Приложение № 3</w:t>
        <w:br/>
        <w:t>к муниципальной программе</w:t>
      </w:r>
    </w:p>
    <w:p>
      <w:pPr>
        <w:pStyle w:val="Style19"/>
        <w:shd w:val="clear" w:fill="FFFFFF"/>
        <w:spacing w:before="0" w:after="0"/>
        <w:contextualSpacing/>
        <w:jc w:val="center"/>
        <w:rPr>
          <w:sz w:val="24"/>
          <w:szCs w:val="24"/>
        </w:rPr>
      </w:pPr>
      <w:bookmarkStart w:id="2" w:name="P0053"/>
      <w:bookmarkEnd w:id="2"/>
      <w:r>
        <w:rPr>
          <w:rFonts w:eastAsia="Calibri" w:cs="" w:ascii="PT Astra Serif" w:hAnsi="PT Astra Serif" w:cstheme="minorBidi" w:eastAsiaTheme="minorHAnsi"/>
          <w:color w:val="000000"/>
          <w:sz w:val="24"/>
          <w:szCs w:val="24"/>
        </w:rPr>
        <w:br/>
      </w:r>
      <w:r>
        <w:rPr>
          <w:rFonts w:eastAsia="Calibri" w:ascii="PT Astra Serif" w:hAnsi="PT Astra Serif" w:eastAsiaTheme="minorHAnsi"/>
          <w:color w:val="000000"/>
          <w:sz w:val="24"/>
          <w:szCs w:val="24"/>
        </w:rPr>
        <w:t>СИСТЕМА СТРУКТУРНЫХ ЭЛЕМЕНТОВ</w:t>
      </w:r>
    </w:p>
    <w:p>
      <w:pPr>
        <w:pStyle w:val="ConsPlusNormal"/>
        <w:jc w:val="center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муниципальной программы «Развитие транспортной системы в муниципальном образовании «Тереньгульское городское поселение»</w:t>
      </w:r>
      <w:r>
        <w:rPr>
          <w:rFonts w:eastAsia="Calibri" w:cs="" w:ascii="PT Astra Serif" w:hAnsi="PT Astra Serif" w:cstheme="minorBidi" w:eastAsiaTheme="minorHAnsi"/>
          <w:color w:val="000000"/>
          <w:sz w:val="24"/>
          <w:szCs w:val="24"/>
          <w:lang w:eastAsia="en-US"/>
        </w:rPr>
        <w:br/>
      </w:r>
    </w:p>
    <w:tbl>
      <w:tblPr>
        <w:tblW w:w="9750" w:type="dxa"/>
        <w:jc w:val="left"/>
        <w:tblInd w:w="-30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451"/>
        <w:gridCol w:w="2950"/>
        <w:gridCol w:w="4052"/>
        <w:gridCol w:w="92"/>
        <w:gridCol w:w="2204"/>
      </w:tblGrid>
      <w:tr>
        <w:trPr/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Задачи структурного элемента государственной программы</w:t>
            </w:r>
          </w:p>
        </w:tc>
        <w:tc>
          <w:tcPr>
            <w:tcW w:w="4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Краткое описание ожидаемых эффектов от решения задачи структурного элемента государственной программы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Связь структурного элемента с показателями государственной программы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4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«Обеспечение населения муниципального образования «Тереньгульское городское поселение» качественными услугами пассажирского транспорта»</w:t>
            </w:r>
          </w:p>
        </w:tc>
      </w:tr>
      <w:tr>
        <w:trPr/>
        <w:tc>
          <w:tcPr>
            <w:tcW w:w="45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92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за реализацию: 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населения муниципального образования «Тереньгульское городское поселение» качественными слугами пассажирских перевозок по муниципальным маршрутам</w:t>
            </w:r>
          </w:p>
        </w:tc>
        <w:tc>
          <w:tcPr>
            <w:tcW w:w="414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Созданы условия для обеспечения населения муниципального образования «Тереньгульское городское поселение» качественными слугами автобусными пассажирскими перевозками</w:t>
            </w: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Объем пассажирских перевозок на территории муниципального образования «Тереньгульское городское поселение»</w:t>
            </w:r>
          </w:p>
        </w:tc>
      </w:tr>
      <w:tr>
        <w:trPr/>
        <w:tc>
          <w:tcPr>
            <w:tcW w:w="97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«Безопасные и качественные автомобильные дороги»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929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за реализацию: Управление строительства, архитектуры и дорожной деятельности Администрации муниципального образования «Тереньгульский район»</w:t>
            </w: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  <w:t>, МБУ «Благоустройство») (по согласованию)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Осуществление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Осуществлен ремонт </w:t>
            </w: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дворовых территорий многоквартирных домов, проездов к дворовым территориям многоквартирных домов населённых пунктов с учетом привлеченных средств субсидий из бюджета Ульяновской области</w:t>
            </w:r>
          </w:p>
        </w:tc>
        <w:tc>
          <w:tcPr>
            <w:tcW w:w="22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дворовых территорий, приведённых в нормативное состояние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Осуществление дорожной деятельности</w:t>
            </w:r>
          </w:p>
        </w:tc>
        <w:tc>
          <w:tcPr>
            <w:tcW w:w="4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Осуществлены мероприятия по ремонту </w:t>
            </w:r>
            <w:r>
              <w:rPr>
                <w:rFonts w:cs="Arial CYR" w:ascii="PT Astra Serif" w:hAnsi="PT Astra Serif"/>
                <w:sz w:val="20"/>
                <w:szCs w:val="20"/>
              </w:rPr>
              <w:t>Ремонт пешеходных дорожек, дворовых территорий многоквартирных домов и территорий, прилегающих к социальным объектам, проездов к дворовым территориям многоквартирных домов и территориям, прилегающим к социальным объектам, населенных пунктов, подготовкой проектной документации,строительством, реконструкцией, капитальным ремонтом, ремонтом и содержанием автомобильных дорог общего пользования местного значения, мостов, пешеходных мостов и иных искусственных дорожных сооружений на них с учетом привлеченных средств субсидий из бюджета Ульяновской области</w:t>
            </w:r>
          </w:p>
        </w:tc>
        <w:tc>
          <w:tcPr>
            <w:tcW w:w="22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Осуществление ремонтных работ по устройству пешеходных дорожек, территорий, прилегающих к социальным объектам, территорий, прилегающих к социальным объектам, населенных пунктов, мостов, пешеходных мостов и иных искусственных дорожных сооружений на них</w:t>
            </w:r>
          </w:p>
        </w:tc>
        <w:tc>
          <w:tcPr>
            <w:tcW w:w="4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Осуществлен </w:t>
            </w:r>
            <w:r>
              <w:rPr>
                <w:rFonts w:cs="Arial CYR" w:ascii="PT Astra Serif" w:hAnsi="PT Astra Serif"/>
                <w:sz w:val="20"/>
                <w:szCs w:val="20"/>
              </w:rPr>
              <w:t>Ремонт пешеходных дорожек, дворовых территорий многоквартирных домов и территорий, прилегающих к социальным объектам, проездов к дворовым территориям многоквартирных домов и территориям, прилегающим к социальным объектам, населенных пунктов, подготовкой проектной документации, строительством, реконструкцией, капитальным ремонтом, ремонтом и содержанием автомобильных дорог общего пользования местного значения, мостов, пешеходных мостов и иных искусственных дорожных сооружений на них</w:t>
            </w:r>
          </w:p>
        </w:tc>
        <w:tc>
          <w:tcPr>
            <w:tcW w:w="22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</w:tr>
      <w:tr>
        <w:trPr/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Осуществление содержания автомобильных дорог общего пользования местного значения,территорий общественных пространств и социальных объектов в нормативном состоянии, в т.ч. с устройством и содержанием освещения уличной дорожной сети</w:t>
            </w:r>
          </w:p>
        </w:tc>
        <w:tc>
          <w:tcPr>
            <w:tcW w:w="40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Обеспечено нормативное содержание </w:t>
            </w:r>
            <w:r>
              <w:rPr>
                <w:rFonts w:ascii="PT Astra Serif" w:hAnsi="PT Astra Serif"/>
                <w:sz w:val="20"/>
                <w:szCs w:val="20"/>
              </w:rPr>
              <w:t>автомобильных дорог общего пользования местного значения, т.ч. территорий общественных пространств и социальных объектов, восстановлены и функционируют системы уличного освещения дорожного полотна</w:t>
            </w:r>
          </w:p>
        </w:tc>
        <w:tc>
          <w:tcPr>
            <w:tcW w:w="22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</w:tr>
    </w:tbl>
    <w:p>
      <w:pPr>
        <w:sectPr>
          <w:type w:val="nextPage"/>
          <w:pgSz w:w="11906" w:h="16838"/>
          <w:pgMar w:left="1701" w:right="850" w:header="0" w:top="680" w:footer="0" w:bottom="680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before="0" w:after="0"/>
        <w:contextualSpacing/>
        <w:jc w:val="right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Приложение № 3</w:t>
        <w:br/>
        <w:t>к муниципальной программе</w:t>
      </w:r>
    </w:p>
    <w:p>
      <w:pPr>
        <w:pStyle w:val="Style19"/>
        <w:shd w:val="clear" w:fill="FFFFFF"/>
        <w:spacing w:before="0" w:after="0"/>
        <w:contextualSpacing/>
        <w:jc w:val="center"/>
        <w:rPr>
          <w:sz w:val="24"/>
          <w:szCs w:val="24"/>
        </w:rPr>
      </w:pPr>
      <w:r>
        <w:rPr>
          <w:rFonts w:eastAsia="Calibri" w:cs="" w:ascii="PT Astra Serif" w:hAnsi="PT Astra Serif" w:cstheme="minorBidi" w:eastAsiaTheme="minorHAnsi"/>
          <w:b/>
          <w:color w:val="000000"/>
          <w:sz w:val="24"/>
          <w:szCs w:val="24"/>
        </w:rPr>
        <w:t>Финансовое обеспечение реализации муниципальной программы «Развитие транспортной системы в муниципальном образовании «Тереньгульское городское поселение»</w:t>
      </w:r>
    </w:p>
    <w:tbl>
      <w:tblPr>
        <w:tblW w:w="14937" w:type="dxa"/>
        <w:jc w:val="left"/>
        <w:tblInd w:w="-42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449"/>
        <w:gridCol w:w="2589"/>
        <w:gridCol w:w="1786"/>
        <w:gridCol w:w="1814"/>
        <w:gridCol w:w="1350"/>
        <w:gridCol w:w="1201"/>
        <w:gridCol w:w="1248"/>
        <w:gridCol w:w="1076"/>
        <w:gridCol w:w="1032"/>
        <w:gridCol w:w="799"/>
        <w:gridCol w:w="795"/>
        <w:gridCol w:w="797"/>
      </w:tblGrid>
      <w:tr>
        <w:trPr/>
        <w:tc>
          <w:tcPr>
            <w:tcW w:w="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1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7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4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3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2030 год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30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«Развитие транспортной системы в муниципальном образовании «Тереньгульское городское поселение»</w:t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строительства, архитектуры и дорожной деятельности Администрации муниципального образования «Тереньгульский район»  (далее - Управление САиДД АМО «Тереньгульский район»),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58520,7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24268,3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6466,0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6759,1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7009,1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7009,1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7009,1</w:t>
            </w:r>
          </w:p>
        </w:tc>
      </w:tr>
      <w:tr>
        <w:trPr/>
        <w:tc>
          <w:tcPr>
            <w:tcW w:w="303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 муниципального образования «Тереньгульское городское поселение» (далее также - бюджетные ассигнования местного бюджета)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auto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40602,3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6349,9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6466,0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6759,1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7009,1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7009,1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7009,1</w:t>
            </w:r>
          </w:p>
        </w:tc>
      </w:tr>
      <w:tr>
        <w:trPr/>
        <w:tc>
          <w:tcPr>
            <w:tcW w:w="303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17918,4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17918,4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Комплекс процессных мероприятий «Обеспечение населения качественными услугами пассажирского транспорта»</w:t>
            </w:r>
          </w:p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 АМО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52 4 01 00000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621,4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446,4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453,4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453,4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</w:tr>
      <w:tr>
        <w:trPr>
          <w:trHeight w:val="455" w:hRule="atLeast"/>
        </w:trPr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203,0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28,0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418,4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418,4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САиДДА 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52 4 01 72370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52 4 01 S2370</w:t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621,4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446,4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453,4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453,4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52 4 01 S2370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203,0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28,0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52 4 01 72370</w:t>
            </w:r>
          </w:p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418,4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418,4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 АМО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52 4 02 00000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57899,3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23821,90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6431,0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6724,1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6974,1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6974,1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6974,1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40399,3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6321,9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6431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6724,1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6974,1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6974,1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6974,1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17500,0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17500,0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cs="Arial CYR" w:ascii="PT Astra Serif" w:hAnsi="PT Astra Serif"/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 АМО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Д200</w:t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9Д200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2625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2625,0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Д200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125,0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125,0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color w:val="000000"/>
                <w:sz w:val="20"/>
                <w:szCs w:val="20"/>
              </w:rPr>
            </w:pPr>
            <w:r>
              <w:rPr>
                <w:rFonts w:eastAsia="Calibri"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9Д200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Осуществление дорожной деятельности</w:t>
            </w:r>
          </w:p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 АМО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Д110</w:t>
            </w:r>
          </w:p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9Д110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24415,0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16465,0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Д110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9415,0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1465,0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1590,0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9Д110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15000,0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15000,0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Ремонт пешеходных дорожек,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 АМО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9Д020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750,00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9Д020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750,00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,00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43"/>
              <w:contextualSpacing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Содержание автомобильных дорог общего пользования местного значения в нормативном состоянии, территорий общественных пространств и социальных объектов, в т.ч. с устройством и содержанием освещения уличной дорожной сети</w:t>
            </w:r>
          </w:p>
        </w:tc>
        <w:tc>
          <w:tcPr>
            <w:tcW w:w="178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Управление САиДД АМО «Тереньгульский район», </w:t>
            </w:r>
            <w:r>
              <w:rPr>
                <w:rFonts w:cs="Times New Roman" w:ascii="PT Astra Serif" w:hAnsi="PT Astra Serif"/>
                <w:color w:val="000000"/>
                <w:sz w:val="20"/>
                <w:szCs w:val="20"/>
              </w:rPr>
              <w:t>МБУ «Благоустройство» (по согласованию)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9Д010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30109,30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4731,9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4841,0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02 9Д010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</w:t>
            </w: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0109,30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4731,9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4841,0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5134,1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78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>
        <w:br w:type="page"/>
      </w:r>
    </w:p>
    <w:p>
      <w:pPr>
        <w:pStyle w:val="Normal"/>
        <w:widowControl w:val="false"/>
        <w:spacing w:before="0" w:after="0"/>
        <w:contextualSpacing/>
        <w:jc w:val="right"/>
        <w:rPr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№ 4</w:t>
        <w:br/>
        <w:t>к муниципальной программе</w:t>
      </w:r>
    </w:p>
    <w:p>
      <w:pPr>
        <w:pStyle w:val="ConsPlusNonformat"/>
        <w:jc w:val="center"/>
        <w:rPr>
          <w:rFonts w:ascii="PT Astra Serif" w:hAnsi="PT Astra Serif" w:eastAsia="Calibri" w:cs="" w:cstheme="minorBidi" w:eastAsiaTheme="minorHAnsi"/>
          <w:color w:val="000000"/>
          <w:sz w:val="28"/>
          <w:szCs w:val="28"/>
          <w:lang w:eastAsia="en-US"/>
        </w:rPr>
      </w:pPr>
      <w:r>
        <w:rPr>
          <w:rFonts w:eastAsia="Calibri" w:cs="" w:cstheme="minorBidi" w:eastAsiaTheme="minorHAnsi" w:ascii="PT Astra Serif" w:hAnsi="PT Astra Serif"/>
          <w:color w:val="000000"/>
          <w:sz w:val="28"/>
          <w:szCs w:val="28"/>
          <w:lang w:eastAsia="en-US"/>
        </w:rPr>
      </w:r>
    </w:p>
    <w:p>
      <w:pPr>
        <w:pStyle w:val="ConsPlusNonformat"/>
        <w:jc w:val="center"/>
        <w:rPr>
          <w:rFonts w:ascii="PT Astra Serif" w:hAnsi="PT Astra Serif" w:eastAsia="Calibri" w:cs="" w:cstheme="minorBidi" w:eastAsiaTheme="minorHAnsi"/>
          <w:color w:val="000000"/>
          <w:sz w:val="28"/>
          <w:szCs w:val="28"/>
          <w:lang w:eastAsia="en-US"/>
        </w:rPr>
      </w:pPr>
      <w:r>
        <w:rPr>
          <w:rFonts w:eastAsia="Calibri" w:cs="" w:ascii="PT Astra Serif" w:hAnsi="PT Astra Serif" w:cstheme="minorBidi" w:eastAsiaTheme="minorHAnsi"/>
          <w:color w:val="000000"/>
          <w:sz w:val="28"/>
          <w:szCs w:val="28"/>
          <w:lang w:eastAsia="en-US"/>
        </w:rPr>
        <w:t>ПЛАН ДОСТИЖЕНИЯ</w:t>
      </w:r>
    </w:p>
    <w:p>
      <w:pPr>
        <w:pStyle w:val="ConsPlusNonformat"/>
        <w:jc w:val="center"/>
        <w:rPr>
          <w:rFonts w:ascii="PT Astra Serif" w:hAnsi="PT Astra Serif" w:eastAsia="Calibri" w:cs="" w:cstheme="minorBidi" w:eastAsiaTheme="minorHAnsi"/>
          <w:color w:val="000000"/>
          <w:sz w:val="28"/>
          <w:szCs w:val="28"/>
          <w:lang w:eastAsia="en-US"/>
        </w:rPr>
      </w:pPr>
      <w:r>
        <w:rPr>
          <w:rFonts w:eastAsia="Calibri" w:cs="" w:ascii="PT Astra Serif" w:hAnsi="PT Astra Serif" w:cstheme="minorBidi" w:eastAsiaTheme="minorHAnsi"/>
          <w:color w:val="000000"/>
          <w:sz w:val="28"/>
          <w:szCs w:val="28"/>
          <w:lang w:eastAsia="en-US"/>
        </w:rPr>
        <w:t xml:space="preserve">значений показателей муниципальной программы </w:t>
      </w:r>
    </w:p>
    <w:p>
      <w:pPr>
        <w:pStyle w:val="ConsPlusNonformat"/>
        <w:jc w:val="center"/>
        <w:rPr/>
      </w:pPr>
      <w:r>
        <w:rPr>
          <w:rFonts w:eastAsia="Calibri" w:cs="" w:ascii="PT Astra Serif" w:hAnsi="PT Astra Serif" w:cstheme="minorBidi" w:eastAsiaTheme="minorHAnsi"/>
          <w:color w:val="000000"/>
          <w:sz w:val="28"/>
          <w:szCs w:val="28"/>
          <w:lang w:eastAsia="en-US"/>
        </w:rPr>
        <w:t>«Развитие транспортной системы в муниципальном образовании «Тереньгульское городское поселение»</w:t>
      </w:r>
    </w:p>
    <w:p>
      <w:pPr>
        <w:pStyle w:val="ConsPlusNormal"/>
        <w:jc w:val="both"/>
        <w:rPr>
          <w:rFonts w:ascii="PT Astra Serif" w:hAnsi="PT Astra Serif" w:eastAsia="Calibri" w:cs="" w:cstheme="minorBidi" w:eastAsiaTheme="minorHAnsi"/>
          <w:color w:val="000000"/>
          <w:szCs w:val="20"/>
          <w:lang w:eastAsia="en-US"/>
        </w:rPr>
      </w:pPr>
      <w:r>
        <w:rPr>
          <w:rFonts w:eastAsia="Calibri" w:cs="" w:cstheme="minorBidi" w:eastAsiaTheme="minorHAnsi" w:ascii="PT Astra Serif" w:hAnsi="PT Astra Serif"/>
          <w:color w:val="000000"/>
          <w:szCs w:val="20"/>
          <w:lang w:eastAsia="en-US"/>
        </w:rPr>
      </w:r>
    </w:p>
    <w:tbl>
      <w:tblPr>
        <w:tblW w:w="145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8"/>
        <w:gridCol w:w="6689"/>
        <w:gridCol w:w="913"/>
        <w:gridCol w:w="1249"/>
        <w:gridCol w:w="852"/>
        <w:gridCol w:w="900"/>
        <w:gridCol w:w="1029"/>
        <w:gridCol w:w="964"/>
        <w:gridCol w:w="1517"/>
      </w:tblGrid>
      <w:tr>
        <w:trPr>
          <w:trHeight w:val="658" w:hRule="atLeast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 xml:space="preserve">№ </w:t>
            </w: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п/п</w:t>
            </w:r>
          </w:p>
        </w:tc>
        <w:tc>
          <w:tcPr>
            <w:tcW w:w="6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Уровень показателя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Единица измерения значения показателя (по ОКЕИ)</w:t>
            </w:r>
          </w:p>
        </w:tc>
        <w:tc>
          <w:tcPr>
            <w:tcW w:w="3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Плановые значения показателя по кварталам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По состоянию на последнее число года (указывается год)</w:t>
            </w:r>
          </w:p>
        </w:tc>
      </w:tr>
      <w:tr>
        <w:trPr>
          <w:trHeight w:val="657" w:hRule="atLeast"/>
        </w:trPr>
        <w:tc>
          <w:tcPr>
            <w:tcW w:w="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6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II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IV</w:t>
            </w:r>
          </w:p>
        </w:tc>
        <w:tc>
          <w:tcPr>
            <w:tcW w:w="1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000000"/>
                <w:szCs w:val="20"/>
                <w:lang w:eastAsia="en-US"/>
              </w:rPr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1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</w:t>
            </w:r>
          </w:p>
        </w:tc>
      </w:tr>
      <w:tr>
        <w:trPr/>
        <w:tc>
          <w:tcPr>
            <w:tcW w:w="1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color w:val="auto"/>
              </w:rPr>
            </w:pPr>
            <w:r>
              <w:rPr>
                <w:color w:val="000000"/>
                <w:shd w:fill="FFFFFF" w:val="clear"/>
              </w:rPr>
              <w:t>Цель: Создание транспортной инфраструктуры общего пользования в муниципальном образовании «Тереньгульское городское поселение»</w:t>
            </w:r>
          </w:p>
        </w:tc>
      </w:tr>
      <w:tr>
        <w:trPr/>
        <w:tc>
          <w:tcPr>
            <w:tcW w:w="1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Cs w:val="20"/>
                <w:lang w:eastAsia="en-US"/>
              </w:rPr>
              <w:t>2025г.</w:t>
            </w:r>
          </w:p>
        </w:tc>
      </w:tr>
      <w:tr>
        <w:trPr>
          <w:trHeight w:val="1203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Cs w:val="20"/>
                <w:lang w:eastAsia="en-US"/>
              </w:rPr>
              <w:t>1.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Cs w:val="20"/>
              </w:rPr>
            </w:pPr>
            <w:r>
              <w:rPr>
                <w:rFonts w:ascii="PT Astra Serif" w:hAnsi="PT Astra Serif"/>
                <w:color w:val="000000"/>
                <w:szCs w:val="20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Cs w:val="20"/>
                <w:lang w:eastAsia="en-US"/>
              </w:rPr>
              <w:t>97,0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Cs w:val="20"/>
                <w:lang w:eastAsia="en-US"/>
              </w:rPr>
              <w:t>97,0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Cs w:val="20"/>
                <w:lang w:eastAsia="en-US"/>
              </w:rPr>
              <w:t>97,0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Cs w:val="20"/>
                <w:lang w:eastAsia="en-US"/>
              </w:rPr>
              <w:t>97,0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Cs w:val="20"/>
                <w:lang w:eastAsia="en-US"/>
              </w:rPr>
              <w:t>97,0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9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44,5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46,0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46,0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</w:tr>
      <w:tr>
        <w:trPr/>
        <w:tc>
          <w:tcPr>
            <w:tcW w:w="1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2026г.</w:t>
            </w:r>
          </w:p>
        </w:tc>
      </w:tr>
      <w:tr>
        <w:trPr>
          <w:trHeight w:val="1203" w:hRule="atLeast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97,5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47,0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48,0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48,0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</w:tr>
      <w:tr>
        <w:trPr/>
        <w:tc>
          <w:tcPr>
            <w:tcW w:w="1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2027г.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97,7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49,0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50,0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</w:tr>
      <w:tr>
        <w:trPr/>
        <w:tc>
          <w:tcPr>
            <w:tcW w:w="1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2028г.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97,8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51,0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52,0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52,0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52,0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</w:tr>
      <w:tr>
        <w:trPr/>
        <w:tc>
          <w:tcPr>
            <w:tcW w:w="14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2029г.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97,9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97,9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97,9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97,9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52,0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53,0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54,0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54,0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54,0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</w:tr>
      <w:tr>
        <w:trPr/>
        <w:tc>
          <w:tcPr>
            <w:tcW w:w="1456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2030г.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98,0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auto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3.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55,0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56,0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56,0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56,0</w:t>
            </w:r>
          </w:p>
        </w:tc>
      </w:tr>
      <w:tr>
        <w:trPr/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6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000000"/>
                <w:szCs w:val="20"/>
              </w:rPr>
            </w:pPr>
            <w:r>
              <w:rPr>
                <w:rFonts w:cs="Times New Roman" w:ascii="PT Astra Serif" w:hAnsi="PT Astra Serif"/>
                <w:color w:val="000000"/>
                <w:szCs w:val="20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МП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%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szCs w:val="20"/>
                <w:lang w:eastAsia="en-US"/>
              </w:rPr>
              <w:t>95</w:t>
            </w:r>
          </w:p>
        </w:tc>
      </w:tr>
    </w:tbl>
    <w:p>
      <w:pPr>
        <w:pStyle w:val="Normal"/>
        <w:widowControl w:val="false"/>
        <w:spacing w:before="0" w:after="0"/>
        <w:contextualSpacing/>
        <w:jc w:val="right"/>
        <w:rPr>
          <w:rFonts w:ascii="PT Astra Serif" w:hAnsi="PT Astra Serif"/>
          <w:sz w:val="24"/>
          <w:szCs w:val="24"/>
        </w:rPr>
      </w:pPr>
      <w:r>
        <w:br w:type="page"/>
      </w:r>
      <w:r>
        <w:rPr>
          <w:rFonts w:ascii="PT Astra Serif" w:hAnsi="PT Astra Serif"/>
          <w:bCs/>
          <w:sz w:val="24"/>
          <w:szCs w:val="24"/>
        </w:rPr>
        <w:t>Приложение № 5</w:t>
      </w:r>
    </w:p>
    <w:p>
      <w:pPr>
        <w:pStyle w:val="Normal"/>
        <w:widowControl w:val="false"/>
        <w:spacing w:before="0" w:after="0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к муниципальной программе</w:t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widowControl w:val="false"/>
        <w:suppressAutoHyphens w:val="false"/>
        <w:spacing w:before="0" w:after="0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ПАСПОРТ</w:t>
      </w:r>
    </w:p>
    <w:p>
      <w:pPr>
        <w:pStyle w:val="Style23"/>
        <w:spacing w:before="0" w:after="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Комплекс процессных мероприятий «Обеспечение населения муниципального образования «Тереньгульское городское поселение» качественными услугами пассажирского транспорта»</w:t>
      </w:r>
    </w:p>
    <w:p>
      <w:pPr>
        <w:pStyle w:val="ConsPlusNormal"/>
        <w:jc w:val="center"/>
        <w:rPr>
          <w:rFonts w:ascii="PT Astra Serif" w:hAnsi="PT Astra Serif" w:eastAsia="Calibri" w:cs="" w:cstheme="minorBidi" w:eastAsiaTheme="minorHAnsi"/>
          <w:sz w:val="24"/>
          <w:szCs w:val="24"/>
          <w:lang w:eastAsia="en-US"/>
        </w:rPr>
      </w:pPr>
      <w:r>
        <w:rPr>
          <w:rFonts w:eastAsia="Calibri" w:cs="" w:cstheme="minorBidi" w:eastAsiaTheme="minorHAnsi" w:ascii="PT Astra Serif" w:hAnsi="PT Astra Serif"/>
          <w:sz w:val="24"/>
          <w:szCs w:val="24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firstLine="540"/>
        <w:contextualSpacing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Общие положения</w:t>
      </w:r>
    </w:p>
    <w:tbl>
      <w:tblPr>
        <w:tblW w:w="14685" w:type="dxa"/>
        <w:jc w:val="left"/>
        <w:tblInd w:w="-174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6420"/>
        <w:gridCol w:w="8264"/>
      </w:tblGrid>
      <w:tr>
        <w:trPr>
          <w:trHeight w:val="510" w:hRule="atLeast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Соисполнители (участники) структурного элемента</w:t>
            </w:r>
          </w:p>
        </w:tc>
        <w:tc>
          <w:tcPr>
            <w:tcW w:w="8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отсутствуют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720" w:hanging="0"/>
        <w:contextualSpacing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720" w:hanging="0"/>
        <w:contextualSpacing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Перечень показателей комплекса процессных мероприятий</w:t>
      </w:r>
    </w:p>
    <w:tbl>
      <w:tblPr>
        <w:tblW w:w="14250" w:type="dxa"/>
        <w:jc w:val="left"/>
        <w:tblInd w:w="268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25"/>
        <w:gridCol w:w="3349"/>
        <w:gridCol w:w="913"/>
        <w:gridCol w:w="1012"/>
        <w:gridCol w:w="851"/>
        <w:gridCol w:w="975"/>
        <w:gridCol w:w="550"/>
        <w:gridCol w:w="775"/>
        <w:gridCol w:w="762"/>
        <w:gridCol w:w="763"/>
        <w:gridCol w:w="762"/>
        <w:gridCol w:w="775"/>
        <w:gridCol w:w="762"/>
        <w:gridCol w:w="1975"/>
      </w:tblGrid>
      <w:tr>
        <w:trPr>
          <w:trHeight w:val="1749" w:hRule="atLeast"/>
        </w:trPr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Уровень показателя </w:t>
            </w:r>
            <w:hyperlink w:anchor="P2119">
              <w:r>
                <w:rPr>
                  <w:rFonts w:ascii="PT Astra Serif" w:hAnsi="PT Astra Seri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2">
              <w:r>
                <w:rPr>
                  <w:rFonts w:ascii="PT Astra Serif" w:hAnsi="PT Astra Serif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33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91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10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>
          <w:trHeight w:val="242" w:hRule="atLeast"/>
        </w:trPr>
        <w:tc>
          <w:tcPr>
            <w:tcW w:w="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2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населения муниципального образования «Тереньгульское городское поселение» качественными слугами пассажирских перевозок по муниципальным маршрутам</w:t>
            </w:r>
          </w:p>
        </w:tc>
      </w:tr>
      <w:tr>
        <w:trPr>
          <w:trHeight w:val="500" w:hRule="atLeast"/>
        </w:trPr>
        <w:tc>
          <w:tcPr>
            <w:tcW w:w="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МП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auto"/>
                <w:sz w:val="24"/>
                <w:szCs w:val="24"/>
              </w:rPr>
              <w:t>Стабильный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97,0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97,5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97,7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97,7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97,9</w:t>
            </w: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98,0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eastAsia="SimSun;宋体" w:cs="Times New Roman"/>
                <w:color w:val="auto"/>
                <w:sz w:val="24"/>
                <w:szCs w:val="24"/>
              </w:rPr>
              <w:t>Решение Совета депутатов муниципального образования «Тереньгульский район» от 30.07.2020 №24/24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«Об утверждении Стратегии социально-экономического развития Муниципального образования «Тереньгульский район» до 2030 года»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hanging="0"/>
        <w:contextualSpacing/>
        <w:jc w:val="both"/>
        <w:outlineLvl w:val="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3. План достижения значений показателей комплекса процессных мероприятий</w:t>
      </w:r>
    </w:p>
    <w:tbl>
      <w:tblPr>
        <w:tblW w:w="14685" w:type="dxa"/>
        <w:jc w:val="left"/>
        <w:tblInd w:w="-13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562"/>
        <w:gridCol w:w="7495"/>
        <w:gridCol w:w="796"/>
        <w:gridCol w:w="844"/>
        <w:gridCol w:w="821"/>
        <w:gridCol w:w="834"/>
        <w:gridCol w:w="818"/>
        <w:gridCol w:w="837"/>
        <w:gridCol w:w="1676"/>
      </w:tblGrid>
      <w:tr>
        <w:trPr>
          <w:trHeight w:val="254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2121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Уровень показателя </w:t>
            </w:r>
            <w:hyperlink w:anchor="P2122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3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Плановые значения показателя по месяцам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749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79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8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239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16</w:t>
            </w:r>
          </w:p>
        </w:tc>
      </w:tr>
      <w:tr>
        <w:trPr>
          <w:trHeight w:val="239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fill="FFFFFF" w:val="clear"/>
              </w:rPr>
              <w:t>«Частота осуществления перевозок пассажиров автомобильным транспортом по маршрутам регулярных перевозок»</w:t>
            </w:r>
          </w:p>
        </w:tc>
      </w:tr>
      <w:tr>
        <w:trPr>
          <w:trHeight w:val="239" w:hRule="atLeast"/>
        </w:trPr>
        <w:tc>
          <w:tcPr>
            <w:tcW w:w="8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66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2025 г.</w:t>
            </w:r>
          </w:p>
        </w:tc>
      </w:tr>
      <w:tr>
        <w:trPr>
          <w:trHeight w:val="327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97,5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97,5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97,5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97,5</w:t>
            </w:r>
          </w:p>
        </w:tc>
      </w:tr>
      <w:tr>
        <w:trPr>
          <w:trHeight w:val="239" w:hRule="atLeast"/>
        </w:trPr>
        <w:tc>
          <w:tcPr>
            <w:tcW w:w="8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66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2026г.</w:t>
            </w:r>
          </w:p>
        </w:tc>
      </w:tr>
      <w:tr>
        <w:trPr>
          <w:trHeight w:val="481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97,7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97,7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97,7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97,7</w:t>
            </w:r>
          </w:p>
        </w:tc>
      </w:tr>
      <w:tr>
        <w:trPr>
          <w:trHeight w:val="239" w:hRule="atLeast"/>
        </w:trPr>
        <w:tc>
          <w:tcPr>
            <w:tcW w:w="8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66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2027 г.</w:t>
            </w:r>
          </w:p>
        </w:tc>
      </w:tr>
      <w:tr>
        <w:trPr>
          <w:trHeight w:val="129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97,7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97,7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97,7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97,7</w:t>
            </w:r>
          </w:p>
        </w:tc>
      </w:tr>
      <w:tr>
        <w:trPr>
          <w:trHeight w:val="239" w:hRule="atLeast"/>
        </w:trPr>
        <w:tc>
          <w:tcPr>
            <w:tcW w:w="8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66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2028 г.</w:t>
            </w:r>
          </w:p>
        </w:tc>
      </w:tr>
      <w:tr>
        <w:trPr>
          <w:trHeight w:val="117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97,8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97,8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97,8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97,8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97,8</w:t>
            </w:r>
          </w:p>
        </w:tc>
      </w:tr>
      <w:tr>
        <w:trPr>
          <w:trHeight w:val="239" w:hRule="atLeast"/>
        </w:trPr>
        <w:tc>
          <w:tcPr>
            <w:tcW w:w="8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66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2029 г.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97,9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97,9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97,9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97,9</w:t>
            </w:r>
          </w:p>
        </w:tc>
      </w:tr>
      <w:tr>
        <w:trPr>
          <w:trHeight w:val="239" w:hRule="atLeast"/>
        </w:trPr>
        <w:tc>
          <w:tcPr>
            <w:tcW w:w="8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Год реализации:</w:t>
            </w:r>
          </w:p>
        </w:tc>
        <w:tc>
          <w:tcPr>
            <w:tcW w:w="66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2030 г.</w:t>
            </w:r>
          </w:p>
        </w:tc>
      </w:tr>
      <w:tr>
        <w:trPr>
          <w:trHeight w:val="108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98,0</w:t>
            </w:r>
          </w:p>
        </w:tc>
      </w:tr>
    </w:tbl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W w:w="14685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449"/>
        <w:gridCol w:w="2730"/>
        <w:gridCol w:w="2205"/>
        <w:gridCol w:w="1246"/>
        <w:gridCol w:w="1424"/>
        <w:gridCol w:w="818"/>
        <w:gridCol w:w="818"/>
        <w:gridCol w:w="830"/>
        <w:gridCol w:w="832"/>
        <w:gridCol w:w="833"/>
        <w:gridCol w:w="831"/>
        <w:gridCol w:w="833"/>
        <w:gridCol w:w="835"/>
      </w:tblGrid>
      <w:tr>
        <w:trPr>
          <w:trHeight w:val="838" w:hRule="atLeast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Единица измерения значения мероприятия (результата) (по </w:t>
            </w:r>
            <w:hyperlink r:id="rId4">
              <w:r>
                <w:rPr>
                  <w:rFonts w:ascii="PT Astra Serif" w:hAnsi="PT Astra Serif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4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44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273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22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населения муниципального образования «Тереньгульское городское поселение» качественными слугами пассажирских перевозок по муниципальным маршрутам</w:t>
            </w:r>
          </w:p>
        </w:tc>
      </w:tr>
      <w:tr>
        <w:trPr>
          <w:trHeight w:val="485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  <w:tab w:val="left" w:pos="3422" w:leader="none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Количество регулярных рейсов, для осуществления регулярных пассажирских перевозок и багажа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C9211E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" w:ascii="PT Astra Serif" w:hAnsi="PT Astra Serif"/>
                <w:color w:val="C9211E"/>
                <w:kern w:val="0"/>
                <w:sz w:val="24"/>
                <w:szCs w:val="24"/>
                <w:lang w:val="ru-RU" w:eastAsia="ru-RU" w:bidi="ar-SA"/>
              </w:rPr>
              <w:t>52401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</w:tbl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color w:val="auto"/>
          <w:sz w:val="24"/>
          <w:szCs w:val="24"/>
        </w:rPr>
      </w:pPr>
      <w:r>
        <w:rPr>
          <w:rFonts w:ascii="PT Astra Serif" w:hAnsi="PT Astra Serif"/>
          <w:color w:val="auto"/>
          <w:sz w:val="24"/>
          <w:szCs w:val="24"/>
        </w:rPr>
        <w:t>5. Финансовое обеспечение реализации комплекса процессных мероприятий</w:t>
      </w:r>
    </w:p>
    <w:tbl>
      <w:tblPr>
        <w:tblW w:w="14725" w:type="dxa"/>
        <w:jc w:val="left"/>
        <w:tblInd w:w="-18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509"/>
        <w:gridCol w:w="2699"/>
        <w:gridCol w:w="2581"/>
        <w:gridCol w:w="1585"/>
        <w:gridCol w:w="1415"/>
        <w:gridCol w:w="991"/>
        <w:gridCol w:w="827"/>
        <w:gridCol w:w="825"/>
        <w:gridCol w:w="826"/>
        <w:gridCol w:w="826"/>
        <w:gridCol w:w="829"/>
        <w:gridCol w:w="811"/>
      </w:tblGrid>
      <w:tr>
        <w:trPr>
          <w:trHeight w:val="1327" w:hRule="atLeast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5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713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 w:eastAsia="Calibri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58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7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18"/>
                <w:szCs w:val="18"/>
                <w:lang w:eastAsia="ru-RU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57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Комплекс процессных мероприятий «Обеспечение населения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fill="auto" w:val="clear"/>
              </w:rPr>
              <w:t>муниципального образования «Тереньгульское городское поселение»</w:t>
            </w: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 качественными услугами пассажирского транспорта»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422" w:leader="none"/>
              </w:tabs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52 4 01 00000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621,4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446,4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</w:tr>
      <w:tr>
        <w:trPr>
          <w:trHeight w:val="459" w:hRule="atLeast"/>
        </w:trPr>
        <w:tc>
          <w:tcPr>
            <w:tcW w:w="578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rPr>
                <w:rFonts w:ascii="PT Astra Serif" w:hAnsi="PT Astra Serif" w:eastAsia="Calibri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203,0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28,0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</w:tr>
      <w:tr>
        <w:trPr>
          <w:trHeight w:val="459" w:hRule="atLeast"/>
        </w:trPr>
        <w:tc>
          <w:tcPr>
            <w:tcW w:w="578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rPr>
                <w:rFonts w:ascii="PT Astra Serif" w:hAnsi="PT Astra Serif" w:eastAsia="Calibri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418,4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418,4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  <w:tr>
        <w:trPr>
          <w:trHeight w:val="886" w:hRule="atLeast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25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52 4 01 72370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52 4 01 S2370</w:t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621,4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446,4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</w:tr>
      <w:tr>
        <w:trPr>
          <w:trHeight w:val="496" w:hRule="atLeast"/>
        </w:trPr>
        <w:tc>
          <w:tcPr>
            <w:tcW w:w="50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rPr>
                <w:rFonts w:ascii="PT Astra Serif" w:hAnsi="PT Astra Serif" w:eastAsia="Calibri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69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58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бюджетные ассигнования  бюджета МО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52 4 01 S2370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203,0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28,0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35,0</w:t>
            </w:r>
          </w:p>
        </w:tc>
      </w:tr>
      <w:tr>
        <w:trPr>
          <w:trHeight w:val="496" w:hRule="atLeast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rPr>
                <w:rFonts w:ascii="PT Astra Serif" w:hAnsi="PT Astra Serif" w:eastAsia="Calibri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PT Astra Serif" w:ascii="PT Astra Serif" w:hAnsi="PT Astra Serif"/>
                <w:color w:val="auto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cs="Arial CYR" w:ascii="PT Astra Serif" w:hAnsi="PT Astra Serif"/>
                <w:sz w:val="20"/>
                <w:szCs w:val="20"/>
              </w:rPr>
              <w:t>52 4 01 72370</w:t>
            </w:r>
          </w:p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418,4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 w:cstheme="minorBidi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 w:cstheme="minorBidi" w:eastAsiaTheme="minorHAnsi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418,4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fill="auto" w:val="clear"/>
              </w:rPr>
              <w:t>0,0</w:t>
            </w:r>
          </w:p>
        </w:tc>
      </w:tr>
    </w:tbl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>
        <w:rPr>
          <w:rFonts w:ascii="PT Astra Serif" w:hAnsi="PT Astra Serif"/>
          <w:color w:val="auto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6. План реализации комплекса процессных мероприятий</w:t>
      </w:r>
    </w:p>
    <w:tbl>
      <w:tblPr>
        <w:tblW w:w="14745" w:type="dxa"/>
        <w:jc w:val="left"/>
        <w:tblInd w:w="-18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511"/>
        <w:gridCol w:w="3269"/>
        <w:gridCol w:w="1259"/>
        <w:gridCol w:w="4710"/>
        <w:gridCol w:w="3285"/>
        <w:gridCol w:w="1710"/>
      </w:tblGrid>
      <w:tr>
        <w:trPr>
          <w:trHeight w:val="855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  <w:hyperlink w:anchor="P2124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Документ </w:t>
            </w:r>
            <w:hyperlink w:anchor="P2125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  <w:hyperlink w:anchor="P2126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>
        <w:trPr>
          <w:trHeight w:val="23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47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Организация и проведение</w:t>
            </w:r>
          </w:p>
        </w:tc>
      </w:tr>
      <w:tr>
        <w:trPr>
          <w:trHeight w:val="88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Заключение договоров на осуществление регулярных пассажирских перевозок и багажа по регулируемым маршрутам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Шумилин Вячеслав Викторович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Контракт (договор)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>
        <w:trPr>
          <w:trHeight w:val="887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Предоставление субсидий бюджету муниципального образования «Тереньгульское городское поселение»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Шумилин Вячеслав Викторович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Платежное поручение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</w:tbl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hanging="0"/>
        <w:contextualSpacing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7. Методика расчёта значений показателей комплекса процессных мероприятий</w:t>
      </w:r>
    </w:p>
    <w:tbl>
      <w:tblPr>
        <w:tblW w:w="1478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511"/>
        <w:gridCol w:w="1856"/>
        <w:gridCol w:w="1426"/>
        <w:gridCol w:w="1276"/>
        <w:gridCol w:w="4623"/>
        <w:gridCol w:w="2560"/>
        <w:gridCol w:w="2536"/>
      </w:tblGrid>
      <w:tr>
        <w:trPr>
          <w:trHeight w:val="1282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5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Формула расчёта значения показателя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1222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  <w:tab w:val="left" w:pos="3422" w:leader="none"/>
              </w:tabs>
              <w:suppressAutoHyphens w:val="fals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Частота осуществления перевозок пассажиров автомобильным транспортом по маршрутам регулярных перевозок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возрастания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стабильный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фактически осуществленных рейсов от количества запланированных рейсов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Данные, предоставленные Управлением экономического и стратегического развития администрации муниципального образования «Тереньгульский район»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spacing w:before="0" w:after="0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widowControl w:val="false"/>
        <w:spacing w:before="0" w:after="0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widowControl w:val="false"/>
        <w:spacing w:before="0" w:after="0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№ 6</w:t>
      </w:r>
    </w:p>
    <w:p>
      <w:pPr>
        <w:pStyle w:val="Normal"/>
        <w:widowControl w:val="false"/>
        <w:spacing w:before="0" w:after="0"/>
        <w:contextualSpacing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к муниципальной программе </w:t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widowControl w:val="false"/>
        <w:suppressAutoHyphens w:val="false"/>
        <w:spacing w:before="0" w:after="0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ПАСПОРТ</w:t>
      </w:r>
    </w:p>
    <w:p>
      <w:pPr>
        <w:pStyle w:val="ConsPlusNormal"/>
        <w:jc w:val="center"/>
        <w:rPr>
          <w:rFonts w:ascii="PT Astra Serif" w:hAnsi="PT Astra Serif" w:eastAsia="Calibri" w:cs="" w:cstheme="minorBidi" w:eastAsiaTheme="minorHAnsi"/>
          <w:sz w:val="24"/>
          <w:szCs w:val="24"/>
          <w:lang w:eastAsia="en-US"/>
        </w:rPr>
      </w:pPr>
      <w:r>
        <w:rPr>
          <w:rFonts w:eastAsia="Calibri" w:cs="" w:ascii="PT Astra Serif" w:hAnsi="PT Astra Serif" w:cstheme="minorBidi" w:eastAsiaTheme="minorHAnsi"/>
          <w:sz w:val="24"/>
          <w:szCs w:val="24"/>
          <w:lang w:eastAsia="en-US"/>
        </w:rPr>
        <w:t xml:space="preserve">комплекс процессных мероприятий </w:t>
      </w:r>
      <w:r>
        <w:rPr>
          <w:rFonts w:ascii="PT Astra Serif" w:hAnsi="PT Astra Serif"/>
          <w:color w:val="000000"/>
          <w:szCs w:val="20"/>
        </w:rPr>
        <w:t>«Безопасные и качественные автомобильные дороги»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-283" w:hanging="0"/>
        <w:contextualSpacing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1. Общие положения</w:t>
      </w:r>
    </w:p>
    <w:tbl>
      <w:tblPr>
        <w:tblW w:w="14850" w:type="dxa"/>
        <w:jc w:val="left"/>
        <w:tblInd w:w="-204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5640"/>
        <w:gridCol w:w="9209"/>
      </w:tblGrid>
      <w:tr>
        <w:trPr/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/>
        <w:tc>
          <w:tcPr>
            <w:tcW w:w="5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Соисполнители (участники) структурного элемента</w:t>
            </w:r>
          </w:p>
        </w:tc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rPr>
                <w:rFonts w:ascii="PT Astra Serif" w:hAnsi="PT Astra Serif" w:eastAsia="Calibri" w:cs="" w:cstheme="minorBidi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МБУ «Благоустройство» (по согласованию)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hanging="0"/>
        <w:contextualSpacing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hanging="0"/>
        <w:contextualSpacing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Перечень показателей комплекса процессных мероприятий</w:t>
      </w:r>
    </w:p>
    <w:tbl>
      <w:tblPr>
        <w:tblW w:w="14847" w:type="dxa"/>
        <w:jc w:val="left"/>
        <w:tblInd w:w="-21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571"/>
        <w:gridCol w:w="2503"/>
        <w:gridCol w:w="900"/>
        <w:gridCol w:w="1125"/>
        <w:gridCol w:w="1075"/>
        <w:gridCol w:w="964"/>
        <w:gridCol w:w="912"/>
        <w:gridCol w:w="850"/>
        <w:gridCol w:w="775"/>
        <w:gridCol w:w="700"/>
        <w:gridCol w:w="675"/>
        <w:gridCol w:w="738"/>
        <w:gridCol w:w="687"/>
        <w:gridCol w:w="2371"/>
      </w:tblGrid>
      <w:tr>
        <w:trPr>
          <w:trHeight w:val="1749" w:hRule="atLeast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Уровень показателя </w:t>
            </w:r>
            <w:hyperlink w:anchor="P2119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6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5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50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12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242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7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</w:tr>
      <w:tr>
        <w:trPr>
          <w:trHeight w:val="5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стабильный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Шт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Осуществление дорожной деятельности</w:t>
            </w:r>
          </w:p>
        </w:tc>
      </w:tr>
      <w:tr>
        <w:trPr>
          <w:trHeight w:val="5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Протяженность автомобильных дорог общего пользования местного значения, советующих нормативным требованиям к транспортно-эксплуатационным показателям, в результате ремонта дорог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44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46,0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48,0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52,0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54,0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56,0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Осуществление ремонтных работ по устройству пешеходных дорожек, территорий, прилегающих к социальным объектам, территорий, прилегающих к социальным объектам, населенных пунктов, мостов, пешеходных мостов и иных искусственных дорожных сооружений на них</w:t>
            </w:r>
          </w:p>
        </w:tc>
      </w:tr>
      <w:tr>
        <w:trPr>
          <w:trHeight w:val="5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Протяженность автомобильных дорог общего пользования местного значения, советующих нормативным требованиям к транспортно-эксплуатационным показателям, в результате ремонта дорог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44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46,0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48,0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52,0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54,0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56,0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left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МП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contextualSpacing/>
              <w:jc w:val="center"/>
              <w:rPr>
                <w:rFonts w:ascii="PT Astra Serif" w:hAnsi="PT Astra Serif"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auto"/>
                <w:sz w:val="24"/>
                <w:szCs w:val="24"/>
              </w:rPr>
              <w:t>стабильный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95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Управление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hanging="0"/>
        <w:contextualSpacing/>
        <w:jc w:val="both"/>
        <w:outlineLvl w:val="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ind w:left="720" w:hanging="0"/>
        <w:contextualSpacing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3. План достижения значений показателей комплекса процес</w:t>
      </w:r>
      <w:r>
        <w:rPr>
          <w:rFonts w:ascii="PT Astra Serif" w:hAnsi="PT Astra Serif"/>
          <w:sz w:val="24"/>
          <w:szCs w:val="24"/>
        </w:rPr>
        <w:t>сных мероприятий</w:t>
      </w:r>
    </w:p>
    <w:tbl>
      <w:tblPr>
        <w:tblW w:w="14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"/>
        <w:gridCol w:w="5279"/>
        <w:gridCol w:w="960"/>
        <w:gridCol w:w="1270"/>
        <w:gridCol w:w="1270"/>
        <w:gridCol w:w="1267"/>
        <w:gridCol w:w="1273"/>
        <w:gridCol w:w="1276"/>
        <w:gridCol w:w="1518"/>
      </w:tblGrid>
      <w:tr>
        <w:trPr>
          <w:trHeight w:val="658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Уровень показателя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Единица измерения значения показателя (по ОКЕИ)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Плановые значения показателя по кварталам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По состоянию на последнее число года (указывается год)</w:t>
            </w:r>
          </w:p>
        </w:tc>
      </w:tr>
      <w:tr>
        <w:trPr>
          <w:trHeight w:val="657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5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auto"/>
                <w:sz w:val="24"/>
                <w:szCs w:val="24"/>
                <w:lang w:eastAsia="en-US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1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jc w:val="center"/>
              <w:rPr>
                <w:rFonts w:ascii="PT Astra Serif" w:hAnsi="PT Astra Serif" w:eastAsia="Calibri" w:cs="" w:cstheme="minorBidi"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cstheme="minorBidi" w:eastAsiaTheme="minorHAnsi" w:ascii="PT Astra Serif" w:hAnsi="PT Astra Serif"/>
                <w:color w:val="auto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0"/>
                <w:szCs w:val="20"/>
                <w:lang w:eastAsia="en-US"/>
              </w:rPr>
              <w:t>9</w:t>
            </w:r>
          </w:p>
        </w:tc>
      </w:tr>
      <w:tr>
        <w:trPr/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Комплекс процессных мероприятий «Безопасные качественные дороги»</w:t>
            </w:r>
          </w:p>
        </w:tc>
      </w:tr>
      <w:tr>
        <w:trPr/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2025г.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46,0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</w:tr>
      <w:tr>
        <w:trPr/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2026г.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48,0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</w:tr>
      <w:tr>
        <w:trPr/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2027г.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50,0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</w:tr>
      <w:tr>
        <w:trPr/>
        <w:tc>
          <w:tcPr>
            <w:tcW w:w="14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2028г.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52,0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</w:tr>
      <w:tr>
        <w:trPr/>
        <w:tc>
          <w:tcPr>
            <w:tcW w:w="1456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2029г.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54,0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</w:tr>
      <w:tr>
        <w:trPr/>
        <w:tc>
          <w:tcPr>
            <w:tcW w:w="1456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2030г.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56,0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eastAsia="Calibri" w:cs="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 w:cs="" w:ascii="PT Astra Serif" w:hAnsi="PT Astra Serif" w:cstheme="minorBidi" w:eastAsiaTheme="minorHAnsi"/>
                <w:color w:val="auto"/>
                <w:sz w:val="24"/>
                <w:szCs w:val="24"/>
                <w:lang w:eastAsia="en-US"/>
              </w:rPr>
              <w:t>95</w:t>
            </w:r>
          </w:p>
        </w:tc>
      </w:tr>
    </w:tbl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W w:w="14803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565"/>
        <w:gridCol w:w="3409"/>
        <w:gridCol w:w="1186"/>
        <w:gridCol w:w="1120"/>
        <w:gridCol w:w="1146"/>
        <w:gridCol w:w="906"/>
        <w:gridCol w:w="906"/>
        <w:gridCol w:w="913"/>
        <w:gridCol w:w="961"/>
        <w:gridCol w:w="900"/>
        <w:gridCol w:w="913"/>
        <w:gridCol w:w="945"/>
        <w:gridCol w:w="932"/>
      </w:tblGrid>
      <w:tr>
        <w:trPr>
          <w:trHeight w:val="838" w:hRule="atLeast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Наименование мероприятия (результата)/задачи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Единица измерения значения мероприятия (результата) (по </w:t>
            </w:r>
            <w:hyperlink r:id="rId7">
              <w:r>
                <w:rPr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Базовое значение мероприятия (результата)</w:t>
            </w:r>
          </w:p>
        </w:tc>
        <w:tc>
          <w:tcPr>
            <w:tcW w:w="5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5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340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1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1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0" w:after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3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Комплекс процессных мероприятий «Безопасные качественные дороги»</w:t>
            </w:r>
          </w:p>
        </w:tc>
      </w:tr>
      <w:tr>
        <w:trPr>
          <w:trHeight w:val="48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422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>
        <w:trPr>
          <w:trHeight w:val="4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422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дорожной деятельности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Проц.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</w:tr>
      <w:tr>
        <w:trPr>
          <w:trHeight w:val="4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422" w:leader="none"/>
              </w:tabs>
              <w:spacing w:before="0" w:after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Arial CYR" w:ascii="Times New Roman" w:hAnsi="Times New Roman"/>
                <w:color w:val="auto"/>
                <w:sz w:val="24"/>
                <w:szCs w:val="24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 и строительством (реконструкцией)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Проц.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</w:tr>
      <w:tr>
        <w:trPr>
          <w:trHeight w:val="4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422" w:leader="none"/>
              </w:tabs>
              <w:spacing w:before="0" w:after="0"/>
              <w:contextualSpacing/>
              <w:jc w:val="both"/>
              <w:rPr>
                <w:rFonts w:ascii="Times New Roman" w:hAnsi="Times New Roman" w:cs="Arial CYR"/>
                <w:color w:val="auto"/>
                <w:sz w:val="24"/>
                <w:szCs w:val="24"/>
              </w:rPr>
            </w:pPr>
            <w:r>
              <w:rPr>
                <w:rFonts w:cs="Arial CYR" w:ascii="Times New Roman" w:hAnsi="Times New Roman"/>
                <w:color w:val="auto"/>
                <w:sz w:val="24"/>
                <w:szCs w:val="24"/>
              </w:rPr>
              <w:t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 и содержанием освещения уличной дорожной сети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Осуществление текущей деятельности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Проц.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 менее 95</w:t>
            </w:r>
          </w:p>
        </w:tc>
      </w:tr>
    </w:tbl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tabs>
          <w:tab w:val="clear" w:pos="709"/>
          <w:tab w:val="left" w:pos="3568" w:leader="none"/>
        </w:tabs>
        <w:spacing w:before="0" w:after="0"/>
        <w:contextualSpacing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Финансовое обеспечение реализации комплекса процессных мероприятий</w:t>
      </w:r>
    </w:p>
    <w:tbl>
      <w:tblPr>
        <w:tblW w:w="14937" w:type="dxa"/>
        <w:jc w:val="left"/>
        <w:tblInd w:w="-42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449"/>
        <w:gridCol w:w="2589"/>
        <w:gridCol w:w="2267"/>
        <w:gridCol w:w="2233"/>
        <w:gridCol w:w="1537"/>
        <w:gridCol w:w="1013"/>
        <w:gridCol w:w="863"/>
        <w:gridCol w:w="798"/>
        <w:gridCol w:w="796"/>
        <w:gridCol w:w="799"/>
        <w:gridCol w:w="795"/>
        <w:gridCol w:w="797"/>
      </w:tblGrid>
      <w:tr>
        <w:trPr/>
        <w:tc>
          <w:tcPr>
            <w:tcW w:w="4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5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1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8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4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101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2030 год</w:t>
            </w:r>
          </w:p>
        </w:tc>
      </w:tr>
      <w:tr>
        <w:trPr/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3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11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12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PT Astra Serif" w:hAnsi="PT Astra Serif" w:cs="Arial CYR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Комплекс процессных мероприятий "Безопасные и качественные автомобильные дороги"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Управление САиДД АМО «Тереньгульский район», 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МБУ «Благоустройство» (по согласованию)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52 4 02 00000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57899,3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23821,90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6431,0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6724,1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6974,1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6974,1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6974,1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40399,3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6321,9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6431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6724,1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6974,1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6974,1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6974,1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17500,0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17500,0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</w:rPr>
              <w:t>1.1.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PT Astra Serif" w:hAnsi="PT Astra Serif" w:cs="Arial CYR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color w:val="auto"/>
                <w:sz w:val="24"/>
                <w:szCs w:val="24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Управление САиДД АМО «Тереньгульский район», 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МБУ «Благоустройство» (по согласованию)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Д200</w:t>
            </w:r>
          </w:p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9Д200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2625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2625,0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color w:val="auto"/>
                <w:sz w:val="24"/>
                <w:szCs w:val="24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Д200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125,0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125,0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color w:val="auto"/>
                <w:sz w:val="24"/>
                <w:szCs w:val="24"/>
              </w:rPr>
            </w:pPr>
            <w:r>
              <w:rPr>
                <w:rFonts w:eastAsia="Calibri"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9Д200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1.2.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Arial CYR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Осуществление дорожной деятельности</w:t>
            </w:r>
          </w:p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Управление САиДД АМО «Тереньгульский район», 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МБУ «Благоустройство» (по согласованию)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Д110</w:t>
            </w:r>
          </w:p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9Д110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24415,0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16465,0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52 4 02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Д110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9415,0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1465,0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1590,0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9Д110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15000,0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15000,0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1.3.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Ремонт пешеходных дорожек,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Управление САиДД АМО «Тереньгульский район», 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МБУ «Благоустройство» (по согласованию)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9Д020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750,00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9Д020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750,00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250</w:t>
            </w: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,00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</w:t>
            </w:r>
          </w:p>
        </w:tc>
      </w:tr>
      <w:tr>
        <w:trPr/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5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86"/>
              <w:contextualSpacing/>
              <w:rPr>
                <w:rFonts w:ascii="PT Astra Serif" w:hAnsi="PT Astra Serif" w:cs="Arial CYR"/>
                <w:color w:val="auto"/>
                <w:sz w:val="24"/>
                <w:szCs w:val="24"/>
              </w:rPr>
            </w:pPr>
            <w:r>
              <w:rPr>
                <w:rFonts w:cs="Arial CYR" w:ascii="PT Astra Serif" w:hAnsi="PT Astra Serif"/>
                <w:color w:val="auto"/>
                <w:sz w:val="24"/>
                <w:szCs w:val="24"/>
              </w:rPr>
              <w:t>Содержание автомобильных дорог общего пользования местного значения в нормативном состоянии, территорий общественных пространств и социальных объектов, в т.ч. с устройством и содержанием освещения уличной дорожной сети</w:t>
            </w: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Управление САиДД АМО «Тереньгульский район», </w:t>
            </w:r>
            <w:r>
              <w:rPr>
                <w:rFonts w:eastAsia="Calibri" w:cs="" w:ascii="PT Astra Serif" w:hAnsi="PT Astra Serif" w:cstheme="minorBidi" w:eastAsiaTheme="minorHAnsi"/>
                <w:color w:val="auto"/>
                <w:kern w:val="0"/>
                <w:sz w:val="24"/>
                <w:szCs w:val="24"/>
                <w:lang w:val="ru-RU" w:eastAsia="ru-RU" w:bidi="ar-SA"/>
              </w:rPr>
              <w:t>МБУ «Благоустройство» (по согласованию)</w:t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9Д010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30109,30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4731,9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4841,0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местного бюджета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 4 02 9Д010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3</w:t>
            </w: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0109,30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4731,9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4841,0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Calibri" w:cs="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" w:ascii="PT Astra Serif" w:hAnsi="PT Astra Serif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5134,1</w:t>
            </w:r>
          </w:p>
        </w:tc>
      </w:tr>
      <w:tr>
        <w:trPr/>
        <w:tc>
          <w:tcPr>
            <w:tcW w:w="44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5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6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</w:r>
          </w:p>
        </w:tc>
        <w:tc>
          <w:tcPr>
            <w:tcW w:w="22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бюджетные ассигнования областного бюджета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200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  <w:tc>
          <w:tcPr>
            <w:tcW w:w="7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widowControl w:val="false"/>
              <w:spacing w:before="0" w:after="0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shd w:fill="auto" w:val="clear"/>
              </w:rPr>
              <w:t>0,0</w:t>
            </w:r>
          </w:p>
        </w:tc>
      </w:tr>
    </w:tbl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6. План реализации комплекса процессных мероприятий</w:t>
      </w:r>
    </w:p>
    <w:tbl>
      <w:tblPr>
        <w:tblW w:w="14745" w:type="dxa"/>
        <w:jc w:val="left"/>
        <w:tblInd w:w="-18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570"/>
        <w:gridCol w:w="4480"/>
        <w:gridCol w:w="1446"/>
        <w:gridCol w:w="4792"/>
        <w:gridCol w:w="1637"/>
        <w:gridCol w:w="1819"/>
      </w:tblGrid>
      <w:tr>
        <w:trPr>
          <w:trHeight w:val="1249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  <w:hyperlink w:anchor="P2124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Документ </w:t>
            </w:r>
            <w:hyperlink w:anchor="P2125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  <w:hyperlink w:anchor="P2126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>
        <w:trPr>
          <w:trHeight w:val="2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146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Выполнены работы по ремонту дворовых территорий многоквартирных домов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left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Ежегодно, до 31.12.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Шумилин Вячеслав Викторович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>
        <w:trPr>
          <w:trHeight w:val="215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Выполнены работы по ремонту автомобильных дорог общего пользования местного значения (в т.ч. искусственных сооружений на них) в рамках реализации мероприятий, предусмотренных государственной программой Ульяновской области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Ежегодно, до 31.12.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Шумилин Вячеслав Викторович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158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Выполнены работы по ремонту автомобильных дорог общего пользования местного значения (в т.ч. искусственных сооружений на них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Ежегодно, до 31.12.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Шумилин Вячеслав Викторович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158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before="0" w:after="0"/>
              <w:contextualSpacing/>
              <w:jc w:val="both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Выполнены работы по содержанию автомобильных дорог общего пользования местного значения (в т.ч. искусственных сооружений на них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Ежегодно, до 31.12.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Шумилин Вячеслав Викторович 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suppressAutoHyphens w:val="false"/>
        <w:spacing w:before="0" w:after="0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spacing w:before="0" w:after="0"/>
        <w:ind w:left="0" w:hanging="0"/>
        <w:contextualSpacing/>
        <w:jc w:val="both"/>
        <w:outlineLvl w:val="2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7. Методика расчёта значений показателей комплекса процессных мероприятий</w:t>
      </w:r>
    </w:p>
    <w:tbl>
      <w:tblPr>
        <w:tblW w:w="14750" w:type="dxa"/>
        <w:jc w:val="left"/>
        <w:tblInd w:w="-17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569"/>
        <w:gridCol w:w="3794"/>
        <w:gridCol w:w="1700"/>
        <w:gridCol w:w="1537"/>
        <w:gridCol w:w="2882"/>
        <w:gridCol w:w="1803"/>
        <w:gridCol w:w="2464"/>
      </w:tblGrid>
      <w:tr>
        <w:trPr>
          <w:trHeight w:val="128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Признак возрастания (убывания, динамики) значения показателя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Единица измерения значения показателя (по </w:t>
            </w:r>
            <w:hyperlink r:id="rId8">
              <w:r>
                <w:rPr>
                  <w:rFonts w:ascii="PT Astra Serif" w:hAnsi="PT Astra Serif"/>
                  <w:color w:val="auto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Формула расчёта значения показателя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Источник исходных данных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Ответственный за расчёт значения показателя</w:t>
            </w:r>
          </w:p>
        </w:tc>
      </w:tr>
      <w:tr>
        <w:trPr>
          <w:trHeight w:val="244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24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Количество дворовых территорий, приведённых в нормативное состояние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Стабильный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Шт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Метод прямого подсчета показателей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226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%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Фактическое количество автомобильных дорог, соответствующих нормативному состоянию от общего числа автомобильных дорог общего пользования местного значения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232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auto"/>
                <w:sz w:val="24"/>
                <w:szCs w:val="24"/>
              </w:rPr>
              <w:t>Доля автомобильных дорог общего пользования местного значения, содержащихся в надлежащем состоянии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Возрастающий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%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Фактическое количество автомобильных дорог, соответствующих нормативному состоянию от общего числа автомобильных дорог общего пользования местного значения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</w:tbl>
    <w:p>
      <w:pPr>
        <w:pStyle w:val="Normal"/>
        <w:tabs>
          <w:tab w:val="clear" w:pos="709"/>
          <w:tab w:val="left" w:pos="3568" w:leader="none"/>
        </w:tabs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540"/>
        <w:contextualSpacing/>
        <w:jc w:val="both"/>
        <w:outlineLvl w:val="2"/>
        <w:rPr>
          <w:rFonts w:ascii="PT Astra Serif" w:hAnsi="PT Astra Serif" w:eastAsia="Times New Roman" w:cs="Times New Roman"/>
          <w:kern w:val="2"/>
          <w:sz w:val="26"/>
          <w:szCs w:val="26"/>
          <w:lang w:eastAsia="zh-CN" w:bidi="hi-IN"/>
        </w:rPr>
      </w:pPr>
      <w:r>
        <w:rPr>
          <w:rFonts w:eastAsia="Times New Roman" w:cs="Times New Roman" w:ascii="PT Astra Serif" w:hAnsi="PT Astra Serif"/>
          <w:kern w:val="2"/>
          <w:sz w:val="26"/>
          <w:szCs w:val="26"/>
          <w:lang w:eastAsia="zh-CN" w:bidi="hi-IN"/>
        </w:rPr>
        <w:t>8. Методика расчета значений мероприятий (результатов) комплекса процессных мероприятий</w:t>
      </w:r>
    </w:p>
    <w:tbl>
      <w:tblPr>
        <w:tblW w:w="1465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06"/>
        <w:gridCol w:w="4494"/>
        <w:gridCol w:w="1700"/>
        <w:gridCol w:w="1137"/>
        <w:gridCol w:w="1589"/>
        <w:gridCol w:w="1299"/>
        <w:gridCol w:w="3825"/>
      </w:tblGrid>
      <w:tr>
        <w:trPr>
          <w:trHeight w:val="1393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N п/п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 xml:space="preserve">Единица измерения значения мероприятия (результата) (по </w:t>
            </w:r>
            <w:hyperlink r:id="rId9">
              <w:r>
                <w:rPr>
                  <w:rFonts w:eastAsia="Times New Roman" w:cs="Times New Roman" w:ascii="Times New Roman" w:hAnsi="Times New Roman"/>
                  <w:color w:val="auto"/>
                  <w:kern w:val="2"/>
                  <w:sz w:val="24"/>
                  <w:szCs w:val="24"/>
                  <w:lang w:eastAsia="zh-CN" w:bidi="hi-IN"/>
                </w:rPr>
                <w:t>ОКЕИ</w:t>
              </w:r>
            </w:hyperlink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Формула расчёта значения мероприятия (результата)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Ответственный за расчёт значения мероприятия (результата)</w:t>
            </w:r>
          </w:p>
        </w:tc>
      </w:tr>
      <w:tr>
        <w:trPr>
          <w:trHeight w:val="236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Arial CYR" w:ascii="Times New Roman" w:hAnsi="Times New Roman"/>
                <w:color w:val="auto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ru-RU"/>
              </w:rPr>
              <w:t>Определяется на конец отчетного периода путем подсчёта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223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Arial CYR"/>
                <w:color w:val="auto"/>
                <w:sz w:val="24"/>
                <w:szCs w:val="24"/>
              </w:rPr>
            </w:pPr>
            <w:r>
              <w:rPr>
                <w:rFonts w:cs="Arial CYR" w:ascii="Times New Roman" w:hAnsi="Times New Roman"/>
                <w:color w:val="auto"/>
                <w:sz w:val="24"/>
                <w:szCs w:val="24"/>
              </w:rPr>
              <w:t>Осуществление дорожной деятельности</w:t>
            </w:r>
          </w:p>
          <w:p>
            <w:pPr>
              <w:pStyle w:val="Style23"/>
              <w:widowControl w:val="false"/>
              <w:spacing w:before="0" w:after="20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Проц.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ru-RU"/>
              </w:rPr>
              <w:t>Степень освоения средств бюджета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223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Arial CYR" w:ascii="Times New Roman" w:hAnsi="Times New Roman"/>
                <w:color w:val="auto"/>
                <w:sz w:val="24"/>
                <w:szCs w:val="24"/>
              </w:rPr>
              <w:t>Ремонт пешеходных дорожек,  территорий, прилегающих к социальным объектам территориям, прилегающим к социальным объектам, населенных пунктов, мостов, пешеходных мостов и иных искусственных дорожных сооружений на них, в том числе проектированиеми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Проц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ru-RU"/>
              </w:rPr>
              <w:t>Общее количество реализованных мероприятий от запланированных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</w:p>
        </w:tc>
      </w:tr>
      <w:tr>
        <w:trPr>
          <w:trHeight w:val="223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CYR"/>
                <w:color w:val="auto"/>
                <w:sz w:val="24"/>
                <w:szCs w:val="24"/>
              </w:rPr>
            </w:pPr>
            <w:r>
              <w:rPr>
                <w:rFonts w:cs="Arial CYR" w:ascii="Times New Roman" w:hAnsi="Times New Roman"/>
                <w:color w:val="auto"/>
                <w:sz w:val="24"/>
                <w:szCs w:val="24"/>
              </w:rPr>
              <w:t>Содержание автомобильных дорог общего пользования местного значения в нормативном состоянии,   территорий общественных пространств и социальных объектов, в т.ч. с устройством и содержанием освещения уличной дорожной сети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Проц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ru-RU"/>
              </w:rPr>
              <w:t>Общее количество реализованных мероприятий от запланированных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4"/>
                <w:szCs w:val="24"/>
                <w:lang w:eastAsia="zh-CN" w:bidi="hi-IN"/>
              </w:rPr>
              <w:t>отчет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Начальник управления строительства, архитектуры и дорожной деятельности Администрации муниципального образования «Тереньгульский район»</w:t>
            </w:r>
            <w:bookmarkStart w:id="3" w:name="_GoBack"/>
            <w:bookmarkEnd w:id="3"/>
          </w:p>
        </w:tc>
      </w:tr>
    </w:tbl>
    <w:p>
      <w:pPr>
        <w:pStyle w:val="Normal"/>
        <w:tabs>
          <w:tab w:val="clear" w:pos="709"/>
          <w:tab w:val="left" w:pos="3568" w:leader="none"/>
        </w:tabs>
        <w:spacing w:before="0" w:after="200"/>
        <w:contextualSpacing/>
        <w:rPr>
          <w:rFonts w:ascii="PT Astra Serif" w:hAnsi="PT Astra Serif"/>
          <w:b/>
          <w:b/>
          <w:sz w:val="24"/>
          <w:szCs w:val="24"/>
          <w:lang w:eastAsia="ru-RU"/>
        </w:rPr>
      </w:pPr>
      <w:r>
        <w:rPr/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0432"/>
    <w:pPr>
      <w:widowControl/>
      <w:suppressAutoHyphens w:val="true"/>
      <w:bidi w:val="0"/>
      <w:spacing w:lineRule="auto" w:line="240"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18"/>
    <w:next w:val="Style19"/>
    <w:qFormat/>
    <w:rsid w:val="00910eb0"/>
    <w:p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paragraph" w:styleId="4">
    <w:name w:val="Heading 4"/>
    <w:basedOn w:val="Style18"/>
    <w:next w:val="Style19"/>
    <w:qFormat/>
    <w:rsid w:val="00910eb0"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910eb0"/>
    <w:rPr>
      <w:color w:val="000080"/>
      <w:u w:val="single"/>
    </w:rPr>
  </w:style>
  <w:style w:type="character" w:styleId="Style13" w:customStyle="1">
    <w:name w:val="Символ сноски"/>
    <w:qFormat/>
    <w:rsid w:val="00910eb0"/>
    <w:rPr/>
  </w:style>
  <w:style w:type="character" w:styleId="Style14" w:customStyle="1">
    <w:name w:val="Привязка сноски"/>
    <w:rsid w:val="00910eb0"/>
    <w:rPr>
      <w:vertAlign w:val="superscript"/>
    </w:rPr>
  </w:style>
  <w:style w:type="character" w:styleId="Style15" w:customStyle="1">
    <w:name w:val="Привязка концевой сноски"/>
    <w:rsid w:val="00910eb0"/>
    <w:rPr>
      <w:vertAlign w:val="superscript"/>
    </w:rPr>
  </w:style>
  <w:style w:type="character" w:styleId="Style16" w:customStyle="1">
    <w:name w:val="Символ концевой сноски"/>
    <w:qFormat/>
    <w:rsid w:val="00910eb0"/>
    <w:rPr/>
  </w:style>
  <w:style w:type="character" w:styleId="WW8Num7z0" w:customStyle="1">
    <w:name w:val="WW8Num7z0"/>
    <w:qFormat/>
    <w:rsid w:val="00910eb0"/>
    <w:rPr>
      <w:sz w:val="28"/>
      <w:szCs w:val="28"/>
      <w:lang w:eastAsia="ru-RU"/>
    </w:rPr>
  </w:style>
  <w:style w:type="character" w:styleId="WW8Num7z1" w:customStyle="1">
    <w:name w:val="WW8Num7z1"/>
    <w:qFormat/>
    <w:rsid w:val="00910eb0"/>
    <w:rPr/>
  </w:style>
  <w:style w:type="character" w:styleId="WW8Num7z2" w:customStyle="1">
    <w:name w:val="WW8Num7z2"/>
    <w:qFormat/>
    <w:rsid w:val="00910eb0"/>
    <w:rPr/>
  </w:style>
  <w:style w:type="character" w:styleId="WW8Num7z3" w:customStyle="1">
    <w:name w:val="WW8Num7z3"/>
    <w:qFormat/>
    <w:rsid w:val="00910eb0"/>
    <w:rPr/>
  </w:style>
  <w:style w:type="character" w:styleId="WW8Num7z4" w:customStyle="1">
    <w:name w:val="WW8Num7z4"/>
    <w:qFormat/>
    <w:rsid w:val="00910eb0"/>
    <w:rPr/>
  </w:style>
  <w:style w:type="character" w:styleId="WW8Num7z5" w:customStyle="1">
    <w:name w:val="WW8Num7z5"/>
    <w:qFormat/>
    <w:rsid w:val="00910eb0"/>
    <w:rPr/>
  </w:style>
  <w:style w:type="character" w:styleId="WW8Num7z6" w:customStyle="1">
    <w:name w:val="WW8Num7z6"/>
    <w:qFormat/>
    <w:rsid w:val="00910eb0"/>
    <w:rPr/>
  </w:style>
  <w:style w:type="character" w:styleId="WW8Num7z7" w:customStyle="1">
    <w:name w:val="WW8Num7z7"/>
    <w:qFormat/>
    <w:rsid w:val="00910eb0"/>
    <w:rPr/>
  </w:style>
  <w:style w:type="character" w:styleId="WW8Num7z8" w:customStyle="1">
    <w:name w:val="WW8Num7z8"/>
    <w:qFormat/>
    <w:rsid w:val="00910eb0"/>
    <w:rPr/>
  </w:style>
  <w:style w:type="character" w:styleId="WW8Num3z0" w:customStyle="1">
    <w:name w:val="WW8Num3z0"/>
    <w:qFormat/>
    <w:rsid w:val="00910eb0"/>
    <w:rPr>
      <w:rFonts w:cs="Times New Roman"/>
      <w:b/>
      <w:sz w:val="28"/>
      <w:szCs w:val="28"/>
    </w:rPr>
  </w:style>
  <w:style w:type="character" w:styleId="WW8Num3z1" w:customStyle="1">
    <w:name w:val="WW8Num3z1"/>
    <w:qFormat/>
    <w:rsid w:val="00910eb0"/>
    <w:rPr/>
  </w:style>
  <w:style w:type="character" w:styleId="WW8Num3z2" w:customStyle="1">
    <w:name w:val="WW8Num3z2"/>
    <w:qFormat/>
    <w:rsid w:val="00910eb0"/>
    <w:rPr/>
  </w:style>
  <w:style w:type="character" w:styleId="WW8Num3z3" w:customStyle="1">
    <w:name w:val="WW8Num3z3"/>
    <w:qFormat/>
    <w:rsid w:val="00910eb0"/>
    <w:rPr/>
  </w:style>
  <w:style w:type="character" w:styleId="WW8Num3z4" w:customStyle="1">
    <w:name w:val="WW8Num3z4"/>
    <w:qFormat/>
    <w:rsid w:val="00910eb0"/>
    <w:rPr/>
  </w:style>
  <w:style w:type="character" w:styleId="WW8Num3z5" w:customStyle="1">
    <w:name w:val="WW8Num3z5"/>
    <w:qFormat/>
    <w:rsid w:val="00910eb0"/>
    <w:rPr/>
  </w:style>
  <w:style w:type="character" w:styleId="WW8Num3z6" w:customStyle="1">
    <w:name w:val="WW8Num3z6"/>
    <w:qFormat/>
    <w:rsid w:val="00910eb0"/>
    <w:rPr/>
  </w:style>
  <w:style w:type="character" w:styleId="WW8Num3z7" w:customStyle="1">
    <w:name w:val="WW8Num3z7"/>
    <w:qFormat/>
    <w:rsid w:val="00910eb0"/>
    <w:rPr/>
  </w:style>
  <w:style w:type="character" w:styleId="WW8Num3z8" w:customStyle="1">
    <w:name w:val="WW8Num3z8"/>
    <w:qFormat/>
    <w:rsid w:val="00910eb0"/>
    <w:rPr/>
  </w:style>
  <w:style w:type="character" w:styleId="WW8Num12z0" w:customStyle="1">
    <w:name w:val="WW8Num12z0"/>
    <w:qFormat/>
    <w:rsid w:val="00910eb0"/>
    <w:rPr/>
  </w:style>
  <w:style w:type="character" w:styleId="WW8Num12z1" w:customStyle="1">
    <w:name w:val="WW8Num12z1"/>
    <w:qFormat/>
    <w:rsid w:val="00910eb0"/>
    <w:rPr/>
  </w:style>
  <w:style w:type="character" w:styleId="WW8Num12z2" w:customStyle="1">
    <w:name w:val="WW8Num12z2"/>
    <w:qFormat/>
    <w:rsid w:val="00910eb0"/>
    <w:rPr/>
  </w:style>
  <w:style w:type="character" w:styleId="WW8Num12z3" w:customStyle="1">
    <w:name w:val="WW8Num12z3"/>
    <w:qFormat/>
    <w:rsid w:val="00910eb0"/>
    <w:rPr/>
  </w:style>
  <w:style w:type="character" w:styleId="WW8Num12z4" w:customStyle="1">
    <w:name w:val="WW8Num12z4"/>
    <w:qFormat/>
    <w:rsid w:val="00910eb0"/>
    <w:rPr/>
  </w:style>
  <w:style w:type="character" w:styleId="WW8Num12z5" w:customStyle="1">
    <w:name w:val="WW8Num12z5"/>
    <w:qFormat/>
    <w:rsid w:val="00910eb0"/>
    <w:rPr/>
  </w:style>
  <w:style w:type="character" w:styleId="WW8Num12z6" w:customStyle="1">
    <w:name w:val="WW8Num12z6"/>
    <w:qFormat/>
    <w:rsid w:val="00910eb0"/>
    <w:rPr/>
  </w:style>
  <w:style w:type="character" w:styleId="WW8Num12z7" w:customStyle="1">
    <w:name w:val="WW8Num12z7"/>
    <w:qFormat/>
    <w:rsid w:val="00910eb0"/>
    <w:rPr/>
  </w:style>
  <w:style w:type="character" w:styleId="WW8Num12z8" w:customStyle="1">
    <w:name w:val="WW8Num12z8"/>
    <w:qFormat/>
    <w:rsid w:val="00910eb0"/>
    <w:rPr/>
  </w:style>
  <w:style w:type="character" w:styleId="Style17" w:customStyle="1">
    <w:name w:val="Текст выноски Знак"/>
    <w:basedOn w:val="DefaultParagraphFont"/>
    <w:link w:val="af2"/>
    <w:uiPriority w:val="99"/>
    <w:semiHidden/>
    <w:qFormat/>
    <w:rsid w:val="006f0771"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910eb0"/>
    <w:pPr>
      <w:keepNext w:val="true"/>
      <w:spacing w:before="240" w:after="120"/>
      <w:contextualSpacing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qFormat/>
    <w:rsid w:val="00910eb0"/>
    <w:pPr>
      <w:shd w:val="clear" w:color="auto" w:fill="FFFFFF"/>
      <w:suppressAutoHyphens w:val="false"/>
      <w:spacing w:lineRule="exact" w:line="326" w:before="240" w:after="0"/>
      <w:contextualSpacing/>
    </w:pPr>
    <w:rPr>
      <w:rFonts w:ascii="Times New Roman" w:hAnsi="Times New Roman" w:eastAsia="Times New Roman" w:cs="Times New Roman"/>
      <w:sz w:val="28"/>
      <w:szCs w:val="28"/>
    </w:rPr>
  </w:style>
  <w:style w:type="paragraph" w:styleId="Style20">
    <w:name w:val="List"/>
    <w:basedOn w:val="Style19"/>
    <w:rsid w:val="00910eb0"/>
    <w:pPr>
      <w:shd w:val="clear" w:fill="FFFFFF"/>
    </w:pPr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  <w:contextualSpacing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rsid w:val="00910eb0"/>
    <w:pPr>
      <w:suppressLineNumbers/>
      <w:spacing w:before="120" w:after="120"/>
      <w:contextualSpacing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910eb0"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910eb0"/>
    <w:pPr>
      <w:widowControl w:val="false"/>
      <w:suppressAutoHyphens w:val="true"/>
      <w:bidi w:val="0"/>
      <w:spacing w:lineRule="auto" w:line="240" w:before="0" w:after="0"/>
      <w:contextualSpacing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val="ru-RU" w:eastAsia="ru-RU" w:bidi="ar-SA"/>
    </w:rPr>
  </w:style>
  <w:style w:type="paragraph" w:styleId="ConsPlusCell" w:customStyle="1">
    <w:name w:val="ConsPlusCell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Page" w:customStyle="1">
    <w:name w:val="ConsPlusTitlePage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rsid w:val="00ac649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Style23" w:customStyle="1">
    <w:name w:val="Содержимое таблицы"/>
    <w:basedOn w:val="Normal"/>
    <w:qFormat/>
    <w:rsid w:val="00910eb0"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rsid w:val="00910eb0"/>
    <w:pPr>
      <w:jc w:val="center"/>
    </w:pPr>
    <w:rPr>
      <w:b/>
      <w:bCs/>
    </w:rPr>
  </w:style>
  <w:style w:type="paragraph" w:styleId="Bodytext3" w:customStyle="1">
    <w:name w:val="Body text (3)"/>
    <w:basedOn w:val="Normal"/>
    <w:qFormat/>
    <w:rsid w:val="00910eb0"/>
    <w:pPr>
      <w:shd w:val="clear" w:color="auto" w:fill="FFFFFF"/>
      <w:suppressAutoHyphens w:val="false"/>
      <w:spacing w:lineRule="exact" w:line="326" w:before="1380" w:after="300"/>
      <w:contextualSpacing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Heading3" w:customStyle="1">
    <w:name w:val="Heading #3"/>
    <w:basedOn w:val="Normal"/>
    <w:qFormat/>
    <w:rsid w:val="00910eb0"/>
    <w:pPr>
      <w:shd w:val="clear" w:color="auto" w:fill="FFFFFF"/>
      <w:suppressAutoHyphens w:val="false"/>
      <w:spacing w:lineRule="exact" w:line="322" w:before="840" w:after="240"/>
      <w:contextualSpacing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25" w:customStyle="1">
    <w:name w:val="Верхний и нижний колонтитулы"/>
    <w:basedOn w:val="Normal"/>
    <w:qFormat/>
    <w:rsid w:val="00910eb0"/>
    <w:pPr/>
    <w:rPr/>
  </w:style>
  <w:style w:type="paragraph" w:styleId="Style26">
    <w:name w:val="Header"/>
    <w:basedOn w:val="Normal"/>
    <w:rsid w:val="00910eb0"/>
    <w:pPr>
      <w:tabs>
        <w:tab w:val="clear" w:pos="709"/>
        <w:tab w:val="center" w:pos="4153" w:leader="none"/>
        <w:tab w:val="right" w:pos="8306" w:leader="none"/>
      </w:tabs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1" w:customStyle="1">
    <w:name w:val="Основной текст1"/>
    <w:basedOn w:val="Normal"/>
    <w:qFormat/>
    <w:rsid w:val="00910eb0"/>
    <w:pPr>
      <w:shd w:val="clear" w:color="auto" w:fill="FFFFFF"/>
      <w:spacing w:lineRule="exact" w:line="322" w:before="540" w:after="0"/>
      <w:ind w:hanging="1020"/>
      <w:contextualSpacing/>
      <w:jc w:val="both"/>
    </w:pPr>
    <w:rPr>
      <w:rFonts w:ascii="Times New Roman" w:hAnsi="Times New Roman" w:eastAsia="Times New Roman" w:cs="Times New Roman"/>
      <w:sz w:val="27"/>
      <w:szCs w:val="27"/>
    </w:rPr>
  </w:style>
  <w:style w:type="paragraph" w:styleId="Style27">
    <w:name w:val="Footer"/>
    <w:basedOn w:val="Style25"/>
    <w:rsid w:val="00910eb0"/>
    <w:pPr/>
    <w:rPr/>
  </w:style>
  <w:style w:type="paragraph" w:styleId="Style28">
    <w:name w:val="Footnote Text"/>
    <w:basedOn w:val="Normal"/>
    <w:rsid w:val="00910eb0"/>
    <w:pPr>
      <w:suppressLineNumbers/>
      <w:ind w:left="339" w:hanging="339"/>
    </w:pPr>
    <w:rPr>
      <w:sz w:val="20"/>
      <w:szCs w:val="20"/>
    </w:rPr>
  </w:style>
  <w:style w:type="paragraph" w:styleId="Standard" w:customStyle="1">
    <w:name w:val="Standard"/>
    <w:qFormat/>
    <w:rsid w:val="009a365f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zh-CN" w:bidi="ar-SA"/>
    </w:rPr>
  </w:style>
  <w:style w:type="paragraph" w:styleId="BalloonText">
    <w:name w:val="Balloon Text"/>
    <w:basedOn w:val="Normal"/>
    <w:link w:val="af3"/>
    <w:uiPriority w:val="99"/>
    <w:semiHidden/>
    <w:unhideWhenUsed/>
    <w:qFormat/>
    <w:rsid w:val="006f0771"/>
    <w:pPr>
      <w:spacing w:lineRule="auto" w:line="240" w:before="0" w:after="0"/>
      <w:contextualSpacing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7" w:customStyle="1">
    <w:name w:val="WW8Num7"/>
    <w:qFormat/>
    <w:rsid w:val="00910eb0"/>
  </w:style>
  <w:style w:type="numbering" w:styleId="WW8Num3" w:customStyle="1">
    <w:name w:val="WW8Num3"/>
    <w:qFormat/>
    <w:rsid w:val="00910eb0"/>
  </w:style>
  <w:style w:type="numbering" w:styleId="WW8Num12" w:customStyle="1">
    <w:name w:val="WW8Num12"/>
    <w:qFormat/>
    <w:rsid w:val="00910eb0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hyperlink" Target="https://login.consultant.ru/link/?req=doc&amp;base=LAW&amp;n=441135" TargetMode="External"/><Relationship Id="rId6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hyperlink" Target="https://login.consultant.ru/link/?req=doc&amp;base=LAW&amp;n=441135" TargetMode="External"/><Relationship Id="rId9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019A-B0DF-4FA3-B711-20CD232D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Application>LibreOffice/7.0.6.2$Linux_X86_64 LibreOffice_project/00$Build-2</Application>
  <AppVersion>15.0000</AppVersion>
  <Pages>37</Pages>
  <Words>6528</Words>
  <Characters>47803</Characters>
  <CharactersWithSpaces>52814</CharactersWithSpaces>
  <Paragraphs>1724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2024-10-30T16:16:00Z</dcterms:created>
  <dc:creator>КУИГ</dc:creator>
  <dc:description/>
  <dc:language>ru-RU</dc:language>
  <cp:lastModifiedBy/>
  <cp:lastPrinted>2024-11-06T13:49:53Z</cp:lastPrinted>
  <dcterms:modified xsi:type="dcterms:W3CDTF">2024-12-19T16:42:26Z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