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auto"/>
          <w:sz w:val="28"/>
          <w:szCs w:val="28"/>
        </w:rPr>
        <w:t>АДМИНИСТРАЦИЯ  МУНИЦИПАЛЬНОГО 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«ТЕРЕНЬГУЛЬСКИЙ РАЙОН»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color w:val="auto"/>
          <w:sz w:val="36"/>
          <w:szCs w:val="36"/>
        </w:rPr>
        <w:t>П О С Т А Н О В Л Е Н И Е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36"/>
          <w:szCs w:val="36"/>
        </w:rPr>
      </w:pPr>
      <w:r>
        <w:rPr>
          <w:rFonts w:cs="Times New Roman" w:ascii="PT Astra Serif" w:hAnsi="PT Astra Serif"/>
          <w:color w:val="auto"/>
          <w:sz w:val="36"/>
          <w:szCs w:val="36"/>
        </w:rPr>
      </w:r>
    </w:p>
    <w:p>
      <w:pPr>
        <w:pStyle w:val="NoSpacing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23 сентября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2024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г.                                                                    </w:t>
        <w:tab/>
      </w:r>
      <w:r>
        <w:rPr>
          <w:rFonts w:cs="Times New Roman" w:ascii="PT Astra Serif" w:hAnsi="PT Astra Serif"/>
          <w:color w:val="auto"/>
          <w:sz w:val="24"/>
          <w:szCs w:val="24"/>
        </w:rPr>
        <w:t xml:space="preserve">№ </w:t>
      </w:r>
      <w:r>
        <w:rPr>
          <w:rFonts w:cs="Times New Roman" w:ascii="PT Astra Serif" w:hAnsi="PT Astra Serif"/>
          <w:color w:val="auto"/>
          <w:sz w:val="24"/>
          <w:szCs w:val="24"/>
        </w:rPr>
        <w:t>524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>Экз. №_____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р.п.Тереньга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«Тереньгульский район»  от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30.12.2021г.</w:t>
      </w: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 №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720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Администрация муниципального образования «Тереньгульский район»         п о с т а н о в л я е т: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30.12.2021г.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720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«Об утверждении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 следующие изменения: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1.1. В паспорте муниципальной программы с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финансирования Программы составляет 2 292,13 тыс. рублей (в ценах соответствующих лет), в том числе по годам за счёт средств муниципального бюджета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: 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217,18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572,8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740,35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тыс.руб.;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388,80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373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тыс.рублей.»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1.2. В паспорте муниципальной подпрограмм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ы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Увековечение памяти погибших при защите Отечества</w:t>
      </w:r>
      <w:r>
        <w:rPr>
          <w:rFonts w:cs="Times New Roman" w:ascii="PT Astra Serif" w:hAnsi="PT Astra Serif"/>
          <w:color w:val="auto"/>
          <w:sz w:val="28"/>
          <w:szCs w:val="28"/>
        </w:rPr>
        <w:t>»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строку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1 722,06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тыс.рублей, в том числе по годам: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141,02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484,24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596,80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260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240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,00 тыс.рублей». 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535" w:right="683" w:header="0" w:top="1134" w:footer="1128" w:bottom="1678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1.3.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Приложение 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145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2"/>
        <w:gridCol w:w="6467"/>
      </w:tblGrid>
      <w:tr>
        <w:trPr/>
        <w:tc>
          <w:tcPr>
            <w:tcW w:w="8102" w:type="dxa"/>
            <w:tcBorders/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PT Astra Serif" w:hAnsi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7" w:type="dxa"/>
            <w:tcBorders/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3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4"/>
          <w:szCs w:val="24"/>
          <w:lang w:val="ru-RU" w:eastAsia="en-US" w:bidi="ar-SA"/>
        </w:rPr>
        <w:t>СИСТЕМА МЕРОПРИЯТИЙ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PT Astra Serif" w:hAnsi="PT Astra Serif"/>
          <w:b/>
          <w:color w:val="auto"/>
          <w:sz w:val="24"/>
          <w:szCs w:val="24"/>
        </w:rPr>
        <w:t xml:space="preserve"> </w:t>
      </w:r>
      <w:r>
        <w:rPr>
          <w:rFonts w:cs="Times New Roman" w:ascii="PT Astra Serif" w:hAnsi="PT Astra Serif"/>
          <w:b/>
          <w:color w:val="auto"/>
          <w:sz w:val="24"/>
          <w:szCs w:val="24"/>
        </w:rPr>
        <w:t xml:space="preserve">муниципальной программы «Гражданское общество и национальная политика 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на территории 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PT Astra Serif" w:hAnsi="PT Astra Serif"/>
          <w:b/>
          <w:color w:val="auto"/>
          <w:sz w:val="24"/>
          <w:szCs w:val="24"/>
        </w:rPr>
        <w:t xml:space="preserve">муниципального образования «Тереньгульский район» Ульяновской области  </w:t>
      </w:r>
    </w:p>
    <w:tbl>
      <w:tblPr>
        <w:tblW w:w="14682" w:type="dxa"/>
        <w:jc w:val="left"/>
        <w:tblInd w:w="-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71"/>
        <w:gridCol w:w="13"/>
        <w:gridCol w:w="2006"/>
        <w:gridCol w:w="1756"/>
        <w:gridCol w:w="628"/>
        <w:gridCol w:w="627"/>
        <w:gridCol w:w="558"/>
        <w:gridCol w:w="615"/>
        <w:gridCol w:w="12"/>
        <w:gridCol w:w="1982"/>
        <w:gridCol w:w="1364"/>
        <w:gridCol w:w="903"/>
        <w:gridCol w:w="693"/>
        <w:gridCol w:w="787"/>
        <w:gridCol w:w="803"/>
        <w:gridCol w:w="722"/>
        <w:gridCol w:w="742"/>
      </w:tblGrid>
      <w:tr>
        <w:trPr>
          <w:trHeight w:val="70" w:hRule="atLeast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№</w:t>
            </w:r>
            <w:r>
              <w:rPr>
                <w:rFonts w:eastAsia="PT Astra Serif;Times New Roman"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проекта, основного мероприятия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Контрольное событие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Наименование</w:t>
              <w:br/>
              <w:t>целевого</w:t>
              <w:br/>
              <w:t>индикатора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Объём финансового обеспечения 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мероприятий по годам, тыс. руб.</w:t>
            </w:r>
          </w:p>
        </w:tc>
      </w:tr>
      <w:tr>
        <w:trPr>
          <w:trHeight w:val="349" w:hRule="atLeast"/>
        </w:trPr>
        <w:tc>
          <w:tcPr>
            <w:tcW w:w="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Нача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окон-чания</w:t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9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ind w:left="-12" w:hanging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 год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cs="PT Astra Serif;Times New Roman" w:ascii="PT Astra Serif" w:hAnsi="PT Astra Serif"/>
                <w:b/>
                <w:color w:val="auto"/>
                <w:sz w:val="20"/>
                <w:szCs w:val="20"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Cs/>
                <w:iCs/>
                <w:color w:val="auto"/>
                <w:spacing w:val="-2"/>
                <w:sz w:val="20"/>
                <w:szCs w:val="20"/>
              </w:rPr>
              <w:t>Цель подпрограммы:</w:t>
            </w:r>
            <w:r>
              <w:rPr>
                <w:rFonts w:cs="PT Astra Serif;Times New Roman" w:ascii="PT Astra Serif" w:hAnsi="PT Astra Serif"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создание правовых, экономических и организационных условий для дальнейшего становления социально ориентированных некоммерческих организаций (далее – СО НКО), развития добровольческой (волонтёрской) деятельности и обеспечение их эффективного участия в социально-экономическом развитии Тереньгульского района</w:t>
            </w:r>
          </w:p>
        </w:tc>
      </w:tr>
      <w:tr>
        <w:trPr>
          <w:trHeight w:val="168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Cs/>
                <w:iCs/>
                <w:color w:val="auto"/>
              </w:rPr>
              <w:t>Задача подпрограммы:</w:t>
            </w:r>
            <w:r>
              <w:rPr>
                <w:rFonts w:cs="PT Astra Serif;Times New Roman" w:ascii="PT Astra Serif" w:hAnsi="PT Astra Serif"/>
                <w:bCs/>
                <w:color w:val="auto"/>
              </w:rPr>
              <w:t xml:space="preserve"> </w:t>
            </w:r>
            <w:r>
              <w:rPr>
                <w:rFonts w:cs="Times New Roman" w:ascii="PT Astra Serif" w:hAnsi="PT Astra Serif"/>
                <w:color w:val="auto"/>
              </w:rPr>
              <w:t>развитие механизмов привлечения СО НКО к оказанию социальных услуг на конкурентной основе, а также конкурсного финансирования инновационных программ и проектов СО НКО;развитие инфраструктуры поддержки СО НКО, в том числе содействие привлечению СО НКО труда добровольцев;</w:t>
            </w:r>
            <w:r>
              <w:rPr>
                <w:rFonts w:cs="PT Astra Serif;Times New Roman" w:ascii="PT Astra Serif" w:hAnsi="PT Astra Serif"/>
                <w:bCs/>
                <w:color w:val="auto"/>
              </w:rPr>
              <w:t xml:space="preserve"> </w:t>
            </w:r>
            <w:r>
              <w:rPr>
                <w:rFonts w:cs="Times New Roman" w:ascii="PT Astra Serif" w:hAnsi="PT Astra Serif"/>
                <w:color w:val="auto"/>
              </w:rPr>
              <w:t>обеспечение открытости информации о государственной поддержке СО НКО</w:t>
            </w:r>
          </w:p>
        </w:tc>
      </w:tr>
      <w:tr>
        <w:trPr>
          <w:trHeight w:val="296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«Осуществление  финансовой поддержки социально ориентированных программ (проектов), реализуемых СО НКО»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" w:hAnsi="PT Astra Serif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" w:hAnsi="PT Astra Serif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  <w:t>Ульяновской области (далее — Первый заместитель главы администрации района)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2"/>
                <w:sz w:val="20"/>
                <w:szCs w:val="20"/>
                <w:lang w:eastAsia="ru-RU"/>
              </w:rPr>
              <w:t>Количество СО НКО, получивших субсидии из  бюджета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pacing w:val="-2"/>
                <w:sz w:val="20"/>
                <w:szCs w:val="20"/>
                <w:lang w:eastAsia="ru-RU"/>
              </w:rPr>
              <w:t xml:space="preserve"> Ульяновской области (далее – местный бюджет)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бюджета муниципального образования «Тереньгульский район» муниципального образования «Тереньгульский район»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60,00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</w:tr>
      <w:tr>
        <w:trPr>
          <w:trHeight w:val="70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" w:hAnsi="PT Astra Serif"/>
                <w:color w:val="auto"/>
                <w:spacing w:val="-2"/>
                <w:sz w:val="18"/>
                <w:szCs w:val="18"/>
                <w:lang w:eastAsia="ru-RU"/>
              </w:rPr>
              <w:t>Предоставление субсидий СО НКО из бюджета в целях финансового обеспечения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" w:hAnsi="PT Astra Serif"/>
                <w:color w:val="auto"/>
                <w:spacing w:val="-2"/>
                <w:sz w:val="18"/>
                <w:szCs w:val="18"/>
                <w:lang w:eastAsia="ru-RU"/>
              </w:rPr>
              <w:t>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pacing w:val="-2"/>
                <w:sz w:val="18"/>
                <w:szCs w:val="18"/>
                <w:lang w:eastAsia="ru-RU"/>
              </w:rPr>
              <w:t>социально ориентированных программ (проектов)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" w:hAnsi="PT Astra Serif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" w:hAnsi="PT Astra Serif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60,00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20,00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«Проведение мероприятий, направленных на обеспечение 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Количество мероприятий, проведённых органами местного самоуправления муниципальных образований Ульяновской области с участием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количество СО НКО, осуществляющих деятельность на территории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 Ульяновской области, в отчётном году;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количество информационных материалов, опубликованных в пе-чатных средствах массовой информации, а также радио-, теле- и иных программ, вышедших в свет (в эфир), освещающих деятельность СО НКО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65,96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10,8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15,0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Организация и проведение мероприятий с участием некоммерческих общественных объединений ( в т.ч изготовление баннеров, приобретение цветов, подарков,  сувенирной продукции)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A9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53,8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3,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10,8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15,0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Осуществление комплекса мероприятий, направленных на развитие инфраструктуры поддержки деятельности СО НКО (</w:t>
            </w:r>
            <w:r>
              <w:rPr>
                <w:rFonts w:eastAsia="Calibri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чествование активистов НКО)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Изготовление  </w:t>
            </w:r>
            <w:r>
              <w:rPr>
                <w:rFonts w:eastAsia="Calibri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буклетов.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pacing w:val="-6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pacing w:val="-6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125,96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3</w:t>
            </w: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45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30,8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35,0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0"/>
                <w:szCs w:val="20"/>
                <w:lang w:eastAsia="ru-RU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0"/>
                <w:szCs w:val="20"/>
              </w:rPr>
              <w:t>«Укрепление единства российской нации,  и этнокультурное развитие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Цель подпрограммы: укрепление 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Задача подпрограммы: гармонизация межнациональных отношений; 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«Тереньгульский район»; создание условий для адаптации и интеграции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, прибывающих на территорию муниципального образования «Тереньгульский район»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Цель мероприятия: обеспечение равенства прав и свобод человека и гражданина независимо от расы, национальности, языка, происхождения, имущественного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Задачи мероприятия: формирование гражданского самосознания, патриотизма, гражданской ответственности, чувства гордости за историю России;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воспитание культуры межнационального общения, основанной на уважении чести и национального достоинства граждан,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традиционных российских духовно-нравственных ценностей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Основное мероприятие «Обеспечение гражданской идентичности и этнокультурного развития народов России,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PT Astra Serif;Times New Roman"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" w:hAnsi="PT Astra Serif"/>
                <w:color w:val="auto"/>
              </w:rPr>
              <w:t>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" w:hAnsi="PT Astra Serif"/>
                <w:color w:val="auto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" w:hAnsi="PT Astra Serif"/>
                <w:color w:val="auto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 w:cs="Times New Roman"/>
                <w:color w:val="auto"/>
              </w:rPr>
            </w:pPr>
            <w:r>
              <w:rPr>
                <w:rFonts w:cs="Times New Roman" w:ascii="PT Astra Serif" w:hAnsi="PT Astra Serif"/>
                <w:color w:val="auto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" w:hAnsi="PT Astra Serif"/>
                <w:color w:val="auto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9,78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C9211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</w:tr>
      <w:tr>
        <w:trPr>
          <w:trHeight w:val="769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Изготовление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буклетов о народах, проживающих на территории муниципального образования «Тереньгульский район» Ульяновской области и их традициях и праздниках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8,28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2,5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4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pacing w:val="4"/>
                <w:sz w:val="20"/>
                <w:szCs w:val="20"/>
              </w:rPr>
              <w:t>Подготовка и организация опубликования в печатных средствах массовой информации материалов по вопросам реализации государственной национальной политики и государственной политики в отношении российского казачества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A933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Цель мероприятия: содействие гармонизации национальных и межнациональных (межэтнических) отношений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Задача мероприятия: содействие снижению уровня этнополитического и религиозно-политического экстремизма, ксенофобии и нетерпимости на территории муниципального образования «Тереньгульский район»  Ульяновской области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pacing w:val="-2"/>
                <w:sz w:val="20"/>
                <w:szCs w:val="20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Доля граждан, подтверждающих отсутствие в свой адрес дискриминации по признакам национальности, языка, религии, в общем количестве опрошенных граждан Российской Федерации, проживающих на территории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Организация распространения в СМИ социальной рекламы, </w:t>
            </w:r>
            <w:r>
              <w:rPr>
                <w:rFonts w:cs="PT Astra Serif;Times New Roman" w:ascii="PT Astra Serif" w:hAnsi="PT Astra Serif"/>
                <w:color w:val="auto"/>
                <w:spacing w:val="-2"/>
                <w:sz w:val="20"/>
                <w:szCs w:val="20"/>
                <w:lang w:eastAsia="ru-RU"/>
              </w:rPr>
              <w:t xml:space="preserve">направленной на профилактику экстремизма,  </w:t>
            </w:r>
            <w:r>
              <w:rPr>
                <w:rFonts w:cs="PT Astra Serif;Times New Roman" w:ascii="PT Astra Serif" w:hAnsi="PT Astra Serif"/>
                <w:b w:val="false"/>
                <w:bCs w:val="false"/>
                <w:color w:val="auto"/>
                <w:spacing w:val="-2"/>
                <w:sz w:val="20"/>
                <w:szCs w:val="20"/>
                <w:lang w:eastAsia="ru-RU"/>
              </w:rPr>
              <w:t>изготовление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Первый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3,0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Цель мероприятия: успешная социальная и культурная адаптация иностранных граждан на территории муниципального образования «Тереньгульский район» Ульяновской области и их интеграция в российское общество</w:t>
            </w:r>
          </w:p>
        </w:tc>
      </w:tr>
      <w:tr>
        <w:trPr>
          <w:trHeight w:val="137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Задача мероприятия: содействие социальной и культурной адаптации иностранных граждан на территории муниципального образования «Тереньгульский район» Ульяновской области и их интеграции в российское общество</w:t>
            </w:r>
          </w:p>
        </w:tc>
      </w:tr>
      <w:tr>
        <w:trPr>
          <w:trHeight w:val="4635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«Социально-культурная адаптация и интеграция </w:t>
            </w:r>
            <w:r>
              <w:rPr>
                <w:rFonts w:eastAsia="Calibri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иностранных граждан  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на территории муниципального образования «Тереньгульский район»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143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на территории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3,60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C9211E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Изготовление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 буклетов, брошюр информационно-справочного характера для </w:t>
            </w:r>
            <w:r>
              <w:rPr>
                <w:rFonts w:eastAsia="Calibri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, прибывающих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на территорию муниципального образования «Тереньгульский район»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 Ульяновскую область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3,60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этнокультурного многообразия на территории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Задачи мероприятия: содействие этнокультурному и духовному развитию народов Российской Федерации, проживающих на территории муниципального образования «Тереньгульский район» Ульяновской области; обеспечение равноправия граждан и реализации их конституционных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Основное мероприятие «Этнокультурное развитие народов,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cs="PT Astra Serif;Times New Roman" w:ascii="PT Astra Serif" w:hAnsi="PT Astra Serif"/>
                <w:b w:val="false"/>
                <w:bCs w:val="false"/>
                <w:color w:val="auto"/>
                <w:sz w:val="20"/>
                <w:szCs w:val="20"/>
                <w:lang w:eastAsia="ru-RU"/>
              </w:rPr>
              <w:t>культуры,</w:t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" w:hAnsi="PT Astra Serif" w:cs="PT Astra Serif;Times New Roman"/>
                <w:b w:val="false"/>
                <w:b w:val="false"/>
                <w:bCs w:val="false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b w:val="false"/>
                <w:bCs w:val="false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Администрация  </w:t>
            </w: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Численность участников мероприятий, проводимых на территории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 Ульяновской области, направленных на этнокультурное развитие народов России, проживающих на территории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Ульяновской области;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количество участников мероприятий, проводимых на территории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Ульяновской области, и направленных на укрепление общероссийского гражданского единства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409.81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53,70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85,56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90,55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90,0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90,0</w:t>
            </w:r>
          </w:p>
        </w:tc>
      </w:tr>
      <w:tr>
        <w:trPr>
          <w:trHeight w:val="1452" w:hRule="atLeast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Ульяновской области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МУ Отдел культуры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116,0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16,0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10,0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30,0</w:t>
            </w:r>
          </w:p>
        </w:tc>
      </w:tr>
      <w:tr>
        <w:trPr>
          <w:trHeight w:val="1452" w:hRule="atLeast"/>
        </w:trPr>
        <w:tc>
          <w:tcPr>
            <w:tcW w:w="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20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bookmarkStart w:id="0" w:name="__DdeLink__8925_3438629665"/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  <w:bookmarkEnd w:id="0"/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293,81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37,7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75,56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60,55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60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60,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языкового многообразия на территории муниципального образования «Тереньгульский район» Ульяновской области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Задачи мероприятия: сохранение и поддержка русского языка как государственного языка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и языков народов Российской Федерации, проживающих на территории муниципального образования «Тереньгульский район» Ульяновской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обеспечение права на сохранение родного языка из числа языков народов России, его изучение и развитие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«Русский язык и языки народов России»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Ульяновской области, направленных на сохранение и развитие русского языка и языков народов России, проживающих на территории Ульяновской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укрепление статуса русского языка как государственного языка Российской Федерации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традиционных российских духовно-нравственных ценностей как основы российского общества</w:t>
            </w:r>
          </w:p>
        </w:tc>
      </w:tr>
      <w:tr>
        <w:trPr>
          <w:trHeight w:val="496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развитию и консолидации российского казачества,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патриотических общественных объединений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посредством формирования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эффективных механизмов общественно-государственного партнёрства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Основное мероприятие: «Российское казачество», патриотические общественные объединения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Ульяновской области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10,92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7,92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PT Astra Serif;Times New Roman" w:ascii="PT Astra Serif" w:hAnsi="PT Astra Serif"/>
                <w:b w:val="false"/>
                <w:bCs w:val="false"/>
                <w:color w:val="auto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>
          <w:trHeight w:val="3557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взаимодействие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 российского казачества и патриотических общественных объединений на территории Ульяновской области,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изготовление баннеров,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10,92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7,92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 w:val="false"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PT Astra Serif;Times New Roman" w:ascii="PT Astra Serif" w:hAnsi="PT Astra Serif"/>
                <w:b w:val="false"/>
                <w:bCs w:val="false"/>
                <w:color w:val="auto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  <w:lang w:eastAsia="ru-RU"/>
              </w:rPr>
              <w:t>1,0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Итого по подпрограмме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erif" w:hAnsi="PT Astra Serif" w:cs="PT Astra Serif;Times New Roman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444,11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bCs/>
                <w:color w:val="auto"/>
                <w:sz w:val="22"/>
                <w:szCs w:val="22"/>
                <w:lang w:eastAsia="ru-RU"/>
              </w:rPr>
              <w:t>64,00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85,56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bCs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98,55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bCs/>
                <w:color w:val="auto"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bCs/>
                <w:color w:val="auto"/>
                <w:sz w:val="22"/>
                <w:szCs w:val="22"/>
                <w:lang w:eastAsia="ru-RU"/>
              </w:rPr>
              <w:t>98,0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0"/>
                <w:szCs w:val="20"/>
              </w:rPr>
              <w:t>Подпрограмма «Увековечение памяти погибших (умерших) при защите Отечества»</w:t>
            </w:r>
          </w:p>
        </w:tc>
      </w:tr>
      <w:tr>
        <w:trPr/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Цель подпрограммы: увековечение памяти погибших при защите Отечества.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</w:tr>
      <w:tr>
        <w:trPr>
          <w:trHeight w:val="728" w:hRule="atLeast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</w:rPr>
              <w:t xml:space="preserve">Задачи подпрограммы: 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6"/>
                <w:kern w:val="0"/>
                <w:sz w:val="20"/>
                <w:szCs w:val="20"/>
                <w:lang w:val="ru-RU" w:eastAsia="ru-RU" w:bidi="ar-SA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  с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сражений;  организация проведения мероприятий по захоронению  и увековечению памяти военнослужащих, погибших при защите Отечества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" w:hAnsi="PT Astra Serif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Количество благоустроенных  воинских захоронений, мемориальных сооружений и объектов, увековечивающих память погибших при защите Отечества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" w:hAnsi="PT Astra Serif" w:cs="PT Astra Serif;Times New Roman"/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" w:hAnsi="PT Astra Serif"/>
                <w:color w:val="auto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pacing w:val="-4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21,02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6,02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0,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,0</w:t>
            </w:r>
          </w:p>
        </w:tc>
      </w:tr>
      <w:tr>
        <w:trPr>
          <w:trHeight w:val="2612" w:hRule="atLeast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</w:rPr>
              <w:t xml:space="preserve">Выполнение работ по содержанию в порядке и благоустройству </w:t>
            </w:r>
            <w:r>
              <w:rPr>
                <w:rFonts w:cs="PT Astra Serif;Times New Roman" w:ascii="PT Astra Serif" w:hAnsi="PT Astra Serif"/>
                <w:color w:val="auto"/>
                <w:spacing w:val="-6"/>
                <w:sz w:val="20"/>
                <w:szCs w:val="20"/>
                <w:lang w:eastAsia="ru-RU"/>
              </w:rPr>
              <w:t>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21,02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6,02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15,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0,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2.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47" w:before="0" w:after="0"/>
              <w:jc w:val="both"/>
              <w:textAlignment w:val="baseline"/>
              <w:rPr>
                <w:color w:val="00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545,16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135,0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110,16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100,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100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Оказание транспортных услуг по  доставке  поисковых  отрядов  на места исторических боевых сражений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545,16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135,0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110,16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100,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100</w:t>
            </w:r>
            <w:r>
              <w:rPr>
                <w:rFonts w:cs="PT Astra Serif;Times New Roman" w:ascii="PT Astra Serif" w:hAnsi="PT Astra Serif"/>
                <w:color w:val="auto"/>
                <w:sz w:val="22"/>
                <w:szCs w:val="22"/>
              </w:rPr>
              <w:t>,0</w:t>
            </w:r>
          </w:p>
        </w:tc>
      </w:tr>
      <w:tr>
        <w:trPr/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Основное мероприятие «Организация проведения мероприятий по захоронению  и увековечению памяти военнослужащих, погибших при защите Отечества».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Количество 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мероприятий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 по  захоронению мобилизованных, погибших при защите Отечества»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/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1155,88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374,08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/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481,8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160,0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140,0</w:t>
            </w:r>
          </w:p>
        </w:tc>
      </w:tr>
      <w:tr>
        <w:trPr/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 w:ascii="PT Astra Serif" w:hAnsi="PT Astra Serif"/>
                <w:i w:val="false"/>
                <w:iCs w:val="false"/>
                <w:color w:val="auto"/>
                <w:spacing w:val="-4"/>
                <w:kern w:val="0"/>
                <w:sz w:val="20"/>
                <w:szCs w:val="20"/>
                <w:u w:val="none"/>
                <w:lang w:val="ru-RU" w:eastAsia="zh-CN" w:bidi="ar-SA"/>
              </w:rPr>
              <w:t>Проведение  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bookmarkStart w:id="1" w:name="__DdeLink__1854_2376598411"/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  <w:bookmarkEnd w:id="1"/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/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1036,03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294,23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/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461,8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150,0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130,0</w:t>
            </w:r>
          </w:p>
        </w:tc>
      </w:tr>
      <w:tr>
        <w:trPr/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" w:ascii="PT Astra Serif" w:hAnsi="PT Astra Serif" w:cstheme="minorBidi"/>
                <w:color w:val="auto"/>
                <w:kern w:val="0"/>
                <w:sz w:val="20"/>
                <w:szCs w:val="20"/>
                <w:lang w:val="ru-RU" w:eastAsia="en-US" w:bidi="ar-SA"/>
              </w:rPr>
              <w:t>Приобретение траурной атрибутики (венки, ленты, цветы, корзины),  памятных табличек и т. п. для проведения мероприятий  по захоронению и увековечению памяти погибших  военнослужащих.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119,85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2"/>
                <w:szCs w:val="22"/>
                <w:lang w:val="ru-RU" w:eastAsia="en-US" w:bidi="ar-SA"/>
              </w:rPr>
              <w:t>79,85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20,0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10,0</w:t>
            </w:r>
          </w:p>
        </w:tc>
      </w:tr>
      <w:tr>
        <w:trPr>
          <w:trHeight w:val="123" w:hRule="atLeast"/>
        </w:trPr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Итого по подпрограмме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" w:hAnsi="PT Astra Serif" w:cs="PT Astra Serif;Times New Roman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" w:hAnsi="PT Astra Serif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right="-117" w:hanging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1722,06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141,02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484,24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596,8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260,0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240,0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  <w:t>ВСЕГО по муниципальной  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" w:hAnsi="PT Astra Serif" w:cs="PT Astra Serif;Times New Roman"/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" w:hAnsi="PT Astra Serif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2 292,13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sz w:val="22"/>
                <w:szCs w:val="22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2</w:t>
            </w: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17</w:t>
            </w: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,18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" w:hAnsi="PT Astra Serif"/>
                <w:b/>
                <w:color w:val="auto"/>
                <w:sz w:val="22"/>
                <w:szCs w:val="22"/>
              </w:rPr>
              <w:t>5</w:t>
            </w: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72,8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740,35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388,8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bCs/>
                <w:color w:val="00A933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373,0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ectPr>
          <w:footerReference w:type="even" r:id="rId4"/>
          <w:footerReference w:type="default" r:id="rId5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</w:rPr>
        <w:t>Глав</w:t>
      </w:r>
      <w:r>
        <w:rPr>
          <w:rFonts w:eastAsia="Calibri" w:cs="" w:ascii="PT Astra Serif" w:hAnsi="PT Astra Serif" w:cstheme="minorBidi" w:eastAsiaTheme="minorHAnsi"/>
          <w:color w:val="00000A"/>
          <w:kern w:val="0"/>
          <w:sz w:val="28"/>
          <w:szCs w:val="28"/>
          <w:lang w:val="ru-RU" w:eastAsia="en-US" w:bidi="ar-SA"/>
        </w:rPr>
        <w:t>а</w:t>
      </w:r>
      <w:r>
        <w:rPr>
          <w:rFonts w:ascii="PT Astra Serif" w:hAnsi="PT Astra Serif"/>
          <w:sz w:val="28"/>
          <w:szCs w:val="28"/>
        </w:rPr>
        <w:t xml:space="preserve"> администрации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ab/>
        <w:tab/>
        <w:tab/>
        <w:tab/>
        <w:tab/>
        <w:tab/>
        <w:t xml:space="preserve"> </w:t>
      </w:r>
      <w:r>
        <w:rPr>
          <w:rFonts w:eastAsia="Calibri" w:cs="" w:ascii="PT Astra Serif" w:hAnsi="PT Astra Serif" w:cstheme="minorBidi" w:eastAsiaTheme="minorHAnsi"/>
          <w:color w:val="00000A"/>
          <w:kern w:val="0"/>
          <w:sz w:val="28"/>
          <w:szCs w:val="28"/>
          <w:lang w:val="ru-RU" w:eastAsia="en-US" w:bidi="ar-SA"/>
        </w:rPr>
        <w:t>Г.А. Шерстнев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footerReference w:type="even" r:id="rId6"/>
      <w:footerReference w:type="default" r:id="rId7"/>
      <w:type w:val="nextPage"/>
      <w:pgSz w:w="11906" w:h="16838"/>
      <w:pgMar w:left="1535" w:right="683" w:header="0" w:top="1134" w:footer="1128" w:bottom="167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rPr/>
    </w:pPr>
    <w:r>
      <w:rPr>
        <w:rFonts w:ascii="PT Astra Serif" w:hAnsi="PT Astra Serif"/>
        <w:sz w:val="36"/>
        <w:szCs w:val="31"/>
      </w:rPr>
      <w:t>0</w:t>
    </w:r>
    <w:r>
      <w:rPr>
        <w:rFonts w:eastAsia="Calibri" w:cs="" w:ascii="PT Astra Serif" w:hAnsi="PT Astra Serif" w:cstheme="minorBidi" w:eastAsiaTheme="minorHAnsi"/>
        <w:color w:val="00000A"/>
        <w:kern w:val="0"/>
        <w:sz w:val="36"/>
        <w:szCs w:val="31"/>
        <w:lang w:val="ru-RU" w:eastAsia="en-US" w:bidi="ar-SA"/>
      </w:rPr>
      <w:t>504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spacing w:before="0" w:after="20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settings.xml><?xml version="1.0" encoding="utf-8"?>
<w:settings xmlns:w="http://schemas.openxmlformats.org/wordprocessingml/2006/main">
  <w:zoom w:percent="85"/>
  <w:mirrorMargins/>
  <w:defaultTabStop w:val="709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899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c2752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CellTimesNewRoman">
    <w:name w:val="ConsPlusCell + Times New Roman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Spacing1">
    <w:name w:val="No Spacing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Bodytext">
    <w:name w:val="Body text"/>
    <w:basedOn w:val="Normal"/>
    <w:qFormat/>
    <w:pPr>
      <w:shd w:val="clear" w:fill="FFFFFF"/>
      <w:suppressAutoHyphens w:val="false"/>
      <w:spacing w:lineRule="exact" w:line="326" w:before="24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Style25">
    <w:name w:val="Title"/>
    <w:basedOn w:val="Normal"/>
    <w:next w:val="Style16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3199</TotalTime>
  <Application>LibreOffice/7.0.6.2$Linux_X86_64 LibreOffice_project/00$Build-2</Application>
  <AppVersion>15.0000</AppVersion>
  <DocSecurity>0</DocSecurity>
  <Pages>14</Pages>
  <Words>2225</Words>
  <Characters>16907</Characters>
  <CharactersWithSpaces>20447</CharactersWithSpaces>
  <Paragraphs>589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2019-01-22T17:35:00Z</dcterms:created>
  <dc:creator>Admin</dc:creator>
  <dc:description/>
  <dc:language>ru-RU</dc:language>
  <cp:lastModifiedBy/>
  <cp:lastPrinted>2024-09-19T13:08:36Z</cp:lastPrinted>
  <dcterms:modified xsi:type="dcterms:W3CDTF">2024-09-24T14:43:40Z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