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mallCaps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192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pacing w:val="144"/>
          <w:sz w:val="36"/>
          <w:szCs w:val="36"/>
          <w:lang w:eastAsia="zh-CN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pacing w:val="144"/>
          <w:sz w:val="28"/>
          <w:szCs w:val="28"/>
        </w:rPr>
      </w:pPr>
      <w:r>
        <w:rPr>
          <w:rFonts w:cs="Times New Roman" w:ascii="Times New Roman" w:hAnsi="Times New Roman"/>
          <w:b/>
          <w:spacing w:val="144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>27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>августа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2024 г.</w:t>
        <w:tab/>
        <w:tab/>
        <w:tab/>
        <w:tab/>
        <w:tab/>
        <w:t xml:space="preserve">                       </w:t>
        <w:tab/>
        <w:t xml:space="preserve">   №</w:t>
      </w:r>
      <w:r>
        <w:rPr>
          <w:rFonts w:cs="Times New Roman" w:ascii="Times New Roman" w:hAnsi="Times New Roman"/>
          <w:color w:val="000000"/>
          <w:sz w:val="28"/>
          <w:szCs w:val="28"/>
        </w:rPr>
        <w:t>448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cs="Times New Roman" w:ascii="Times New Roman" w:hAnsi="Times New Roman"/>
          <w:color w:val="000000"/>
          <w:sz w:val="24"/>
          <w:szCs w:val="24"/>
        </w:rPr>
        <w:t>Экз. № 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разработки, реализации и оценки эффективности реализации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статьёй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Российской Федерации от 31.10.2018№1288 «Об организации проектной деятельности в Правительстве Российской Федерации», указом Губернатора Ульяновской области от 01.06.2022 № 68 «Об организации проектной деятельности в правительстве Ульяновской области и в возглавляемых им исполнительных органах Ульяновской области», постановлением Правительства Ульяновской области от 29.09.2023  № 513-П «Об утверждении Правил разработки, реализации и оценки эффективности реализации государственных программ Ульяновской области, а также осуществления контроля за ходом их реализации», приказом Министерства финансов Ульяновской области от 30.10.2023 № 89-пр «Об утверждении Методических указаний по вопросам разработки и реализации государственных программ Ульяновской области» администрация муниципального образования «Тереньгульский район»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постановляет: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прилагаемые Правила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Признать утратившими силу: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«Тереньгульский район» от 26.12.2020 г. №542 «</w:t>
      </w:r>
      <w:r>
        <w:rPr>
          <w:rFonts w:cs="Times New Roman" w:ascii="Times New Roman" w:hAnsi="Times New Roman"/>
          <w:sz w:val="28"/>
          <w:szCs w:val="28"/>
        </w:rPr>
        <w:t>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«Тереньгульский район» от 11.06.2021 г. №256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 от 26.12.2020 № 542».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</w:rPr>
      </w:pPr>
      <w:bookmarkStart w:id="0" w:name="Par26"/>
      <w:bookmarkEnd w:id="0"/>
      <w:r>
        <w:rPr>
          <w:rFonts w:cs="Times New Roman" w:ascii="Times New Roman" w:hAnsi="Times New Roman"/>
          <w:sz w:val="28"/>
          <w:szCs w:val="28"/>
        </w:rPr>
        <w:t>3.  Настоящее постановление вступает в силу на следующий день после дня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«Тереньгульский район»                                                                  С.И. Магадеев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 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eastAsia="PT Astra Serif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от _________ № 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Правила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разработки, реализации и оценки эффективности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программ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«Тереньгульский район» Ульяновской области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а также осуществления </w:t>
      </w:r>
      <w:r>
        <w:rPr>
          <w:rFonts w:cs="Times New Roman" w:ascii="Times New Roman" w:hAnsi="Times New Roman"/>
          <w:b/>
          <w:sz w:val="28"/>
          <w:szCs w:val="28"/>
        </w:rPr>
        <w:t>контроля за ходом их реализации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Настоящие Правила устанавливают порядок разработки и реализации муниципальных программ муниципального образования «Тереньгульский район» Ульяновской области (далее соответственно – методические рекомендации, муниципальные программы), а также осуществления контроля за ходом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Для целей настоящих Правил используются следующие основные понятия: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цель муниципальной программы - предполагаемый конечный результат реализации муниципальной программы, соответствующий приоритетам муниципальной политики в сфере её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ответственный исполнитель муниципальной программы - администрация муниципального образования «Тереньгульский район» либо структурное подразделение администрации муниципального образования «Тереньгульский район», отраслевые (функциональные) органы администрации муниципального образования «Тереньгульский район», определенное администрацией муниципального образования «Тереньгульский район» в качестве муниципального заказчика муниципальной программы. Муниципальный заказчик муниципальной программы является её непосредственным ответственным исполнителем.;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соисполнитель муниципальной программы - администрация муниципального образования «Тереньгульский район», иной муниципальный орган, организация, представитель которого определён ответственным за разработку и реализацию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участник муниципальной программы - администрация муниципального образования «Тереньгульский район», иной муниципальный орган, организация, участвующие в реализации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мероприятие (результат) - количественно измеримый итог деятельности, направленный на достижение показателей муниципальной программы и её структурных элементов, сформулированный в виде завершённого действия по созданию (строительству, приобретению, оснащению, реконструкции и т.п.) определённого количества материальных и нематериальных объектов, предоставлению определённого объёма услуг, выполнению определенного объёма работ с заданными характеристиками.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объединённых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объединённых в проект, и обеспечивающая достижение цели муниципальной программы;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администрации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показатель - количественно или качественно измеримый параметр, характеризующий достижение цели и решение задач муниципальной программы и отражающий социально-экономические и иные общественно значимые эффекты от реализации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объект - конечный материальный или нематериальный продукт (в том числе результат работ или услуг), планируемый к приобретению и (или) получению в ходе реализации мероприятия (достижения результата)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Муниципальная программа разрабатывается для достижения на территории муниципального образования «Тереньгульский район» 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определённых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Указом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года», приоритетов и целей социально-экономического развития Ульяновской области, а также приоритетов и целей социально-экономического развития муниципального образования «Тереньгульский район», определённых стратегией социально-экономического развития муниципального образования «Тереньгульский район» (далее - Стратегия)</w:t>
      </w:r>
      <w:bookmarkStart w:id="1" w:name="P78"/>
      <w:bookmarkEnd w:id="1"/>
      <w:r>
        <w:rPr>
          <w:rFonts w:cs="Times New Roman" w:ascii="Times New Roman" w:hAnsi="Times New Roman"/>
          <w:sz w:val="28"/>
          <w:szCs w:val="28"/>
        </w:rPr>
        <w:t>, утвержденная решением Совета депутатов муниципального образования «Тереньгульский район» от 30.07.2020 г. №24/24 «Об утверждении Стратегии социально – экономического развития муниципального образования «Тереньгульский район» до 2030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Разработка и реализация муниципальной программы осуществляются ответственным исполнителем муниципальной программы совместно с заинтересованными соисполнителями муниципальной программы исходя из следующих принципов: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учёта целей, задач и мероприятий государственных программ Ульяновской области, целей, задач, мероприятий, целевых и дополнительных показателей национальных и федеральных проектов, региональных проектов, региональных приоритетных проектов,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обеспечения консолидации бюджетных ассигнований бюджета муниципального образования «Тереньгульский район» (далее – местного бюджета) в целях финансового обеспечения решения приоритетных задач, связанных с решением вопросов местного значения в соответствующей сфере и влияющих на реализацию предусмотренных муниципальной программой мероприятий и достижение её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учёта показателей для оценки эффективности деятельности органов местного самоуправления;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выделения в структуре муниципальной программы: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проектной части, формируемой в случае включения в состав муниципальной программы муниципальных проектов и мероприятий, проводимых в рамках региональных проектов, региональных приоритетных проектов;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процессной части, включающей мероприятия, реализуемые непрерывно либо на периодической основе и не приводящие к получению новых (уникальных) результатов, а также мероприятий, направленных на обеспечение реализации муниципальной программы, включающие расходы на обеспечение деятельности ответственного исполнителя (соисполнителя)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закрепления должностного лица, ответственного за реализацию муниципальной программы, а также каждого структурного элемента такой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проведения регулярной оценки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Срок реализации муниципальной программы устанавливается исходя из ожидаемых сроков достижения целей и решения задач муниципальной программы. Продолжительность срока реализации муниципальной программы не может быть менее 6 лет, при этом срок реализации муниципальной программы в её наименовании не указывается.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>
        <w:rPr>
          <w:rFonts w:cs="Times New Roman" w:ascii="Times New Roman" w:hAnsi="Times New Roman"/>
          <w:sz w:val="28"/>
          <w:szCs w:val="28"/>
        </w:rPr>
        <w:t>1.6. Разработка муниципальной программы и подготовка изменений в муниципальную программу, а также формирование ежеквартальных и годового отчётов о ходе реализации муниципальной программы, подготовка иных документов, разрабатываемых в процессе реализации муниципальной программы, осуществляются ответственным исполнителем совместно с соисполнителями муниципальной программы (в случае наличия таковых) на бумажном носителе и в интегрированной информационной системе (в случае наличия).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Требования к структуре и содержанию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Ответственные исполнители муниципальных программ совместно с соисполнителями муниципальных программ (в случае наличия таковых) формируют </w:t>
      </w:r>
      <w:hyperlink w:anchor="P355">
        <w:r>
          <w:rPr>
            <w:rFonts w:cs="Times New Roman" w:ascii="Times New Roman" w:hAnsi="Times New Roman"/>
            <w:sz w:val="28"/>
            <w:szCs w:val="28"/>
          </w:rPr>
          <w:t>реестр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документов, входящих в состав муниципальной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№ 1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внесения в документы, входящие в состав муниципальной программы, изменений, документы, внесшие в неё изменения, включаются в реестр документов, относящийся к соответствующей муниципальной программе.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Муниципальная программа состоит из следующих компонентов: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>
        <w:rPr>
          <w:rFonts w:cs="Times New Roman" w:ascii="Times New Roman" w:hAnsi="Times New Roman"/>
          <w:sz w:val="28"/>
          <w:szCs w:val="28"/>
        </w:rPr>
        <w:t>2.2.1. Раздела «Стратегические приоритеты муниципальной программы»,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текущего состояния соответствующей сферы (отрасли) социально-экономического развития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приоритетов и целей социально-экономического развития муниципального образования «Тереньгульский район» в сфере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задач, осуществляемых муниципальным образованием «Тереньгульский район» в соответствующей сфере (отрасли) социально-экономического развития муниципального образования «Тереньгульский район», и способы их эффективного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муниципальной программой предусмотрено предоставление субсидий из бюджета муниципальных образований «Тереньгульский район» (далее - местные бюджеты)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лицам, то данный раздел должен содержать сведения о целях предоставления таких субсидий.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2.2.2. </w:t>
      </w:r>
      <w:hyperlink w:anchor="P461">
        <w:r>
          <w:rPr>
            <w:rFonts w:cs="Times New Roman" w:ascii="Times New Roman" w:hAnsi="Times New Roman"/>
            <w:sz w:val="28"/>
            <w:szCs w:val="28"/>
          </w:rPr>
          <w:t>Паспорта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программы, который составляется по форме, установленной приложением № 2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4"/>
      <w:bookmarkEnd w:id="4"/>
      <w:r>
        <w:rPr>
          <w:rFonts w:cs="Times New Roman" w:ascii="Times New Roman" w:hAnsi="Times New Roman"/>
          <w:sz w:val="28"/>
          <w:szCs w:val="28"/>
        </w:rPr>
        <w:t>2.2.3. Приложений к муниципальной программе, которые включают: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hyperlink w:anchor="P497">
        <w:r>
          <w:rPr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показателей муниципальной программы, составляемый по форме, установленной приложением № 3 к настоящим Правилам. В перечень показателей муниципальной программы включаются: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показатели, соответствующие показателям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показатели, относящиеся к достижению приоритетов социально-экономического развития муниципального образования «Тереньгульский район», определённых в документах стратегического планирования, разрабатываемых на уровне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показатели для оценки эффективности деятельности органов местного самоуправления.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муниципальной программы группируются по её целям и должны отражать их связь с показателями соответствующей государственной программой Ульяновской области (в случае наличия такой связи). Значения показателей муниципальной программы указываются по годам её реализации и должны соответствовать критериям измеримости (счётности) </w:t>
        <w:br/>
        <w:t>и однократности учёта;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hyperlink w:anchor="P591">
        <w:r>
          <w:rPr>
            <w:rFonts w:cs="Times New Roman" w:ascii="Times New Roman" w:hAnsi="Times New Roman"/>
            <w:sz w:val="28"/>
            <w:szCs w:val="28"/>
          </w:rPr>
          <w:t>систему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структурных элементов муниципальной программы, которая составляется по форме, установленной приложением № 4 к настоящим Правилам;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финансовое обеспечение </w:t>
      </w:r>
      <w:hyperlink w:anchor="P677">
        <w:r>
          <w:rPr>
            <w:rFonts w:cs="Times New Roman" w:ascii="Times New Roman" w:hAnsi="Times New Roman"/>
            <w:sz w:val="28"/>
            <w:szCs w:val="28"/>
          </w:rPr>
          <w:t>реализации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программы, которое составляется по форме, установленной приложением № 5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>
        <w:rPr>
          <w:rFonts w:cs="Times New Roman" w:ascii="Times New Roman" w:hAnsi="Times New Roman"/>
          <w:sz w:val="28"/>
          <w:szCs w:val="28"/>
        </w:rPr>
        <w:t xml:space="preserve">2.2.4. </w:t>
      </w:r>
      <w:hyperlink w:anchor="P1151">
        <w:r>
          <w:rPr>
            <w:rFonts w:cs="Times New Roman" w:ascii="Times New Roman" w:hAnsi="Times New Roman"/>
            <w:sz w:val="28"/>
            <w:szCs w:val="28"/>
          </w:rPr>
          <w:t>Плана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достижения значений показателей муниципальной программы, который составляется по форме, установленной приложением № 6 к настоящим Правилам.</w:t>
      </w:r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2.2.5. Оценки предполагаемых результатов применения инструментов муниципального регулирования, которая составляется по форме, установленной приложением № 7 к настоящим Правилам (в случае необходимости применения таких инструментов для достижения целей муниципальной программы).</w:t>
      </w:r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2.2.6. Перечня 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программы, который составляется (в случае наличия таких объектов) по форме, установленной приложением № 8 </w:t>
        <w:br/>
        <w:t>к настоящим Правилам. При этом включение в систему структурных элементов муниципальной программы мероприятий, предполагающих полное или частичное финансовое обеспечение за счёт бюджетных ассигнований областного бюджета Ульяновской области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капитального строительства и (или) иных объектов недвижимого имущества и (или) осуществление инвестиций в основной капитал в другой форме (далее – инвестиционные проекты), допускается только при наличии положительного заключения финансового органа Ульяновской области, утверждённого по результатам проверки инвестиционного проекта с целью определения обоснованности и эффективности использования средств областного бюджета Ульяновской области, направляемых на капитальные вложения, проведённой в порядке, установленном Правительством Ульяновской области.</w:t>
      </w:r>
      <w:bookmarkStart w:id="6" w:name="P127"/>
      <w:bookmarkEnd w:id="6"/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2.2.7. </w:t>
      </w:r>
      <w:hyperlink w:anchor="P1452">
        <w:r>
          <w:rPr>
            <w:rFonts w:cs="Times New Roman" w:ascii="Times New Roman" w:hAnsi="Times New Roman"/>
            <w:sz w:val="28"/>
            <w:szCs w:val="28"/>
          </w:rPr>
          <w:t>Паспорта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комплекса процессных мероприятий муниципальной программы, который составляется по форме, установленной приложением № 9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2.2.8. Дополнительных материалов (таблиц, перечней и иных подобных материалов), детализирующих содержание муниципальной программы (в случае необходимости такой детализации).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>
        <w:rPr>
          <w:rFonts w:cs="Times New Roman" w:ascii="Times New Roman" w:hAnsi="Times New Roman"/>
          <w:sz w:val="28"/>
          <w:szCs w:val="28"/>
        </w:rPr>
        <w:t xml:space="preserve">2.2.9. </w:t>
      </w:r>
      <w:hyperlink w:anchor="P2138">
        <w:r>
          <w:rPr>
            <w:rFonts w:cs="Times New Roman" w:ascii="Times New Roman" w:hAnsi="Times New Roman"/>
            <w:sz w:val="28"/>
            <w:szCs w:val="28"/>
          </w:rPr>
          <w:t>Методики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расчёта значений показателей муниципальной программы, которая составляется по форме, установленной приложением № 10 к настоящим Правилам (в случае если показатели муниципальной программы не тождественны показателям государственной программы Ульяновской области либо эффективности деятельности органов местного самоуправления).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>
        <w:rPr>
          <w:rFonts w:cs="Times New Roman" w:ascii="Times New Roman" w:hAnsi="Times New Roman"/>
          <w:sz w:val="28"/>
          <w:szCs w:val="28"/>
        </w:rPr>
        <w:t xml:space="preserve">2.2.10. Паспорта проекта, сформированного на бумажном носителе </w:t>
        <w:br/>
        <w:t xml:space="preserve">в соответствии с Правилами, утверждёнными местной администрацией муниципального образования «Тереньгульский район».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Компоненты муниципальной программы, определённые </w:t>
      </w:r>
      <w:hyperlink w:anchor="P106">
        <w:r>
          <w:rPr>
            <w:rFonts w:cs="Times New Roman" w:ascii="Times New Roman" w:hAnsi="Times New Roman"/>
            <w:sz w:val="28"/>
            <w:szCs w:val="28"/>
          </w:rPr>
          <w:t>подпунктами 2.2.1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w:anchor="P114">
        <w:r>
          <w:rPr>
            <w:rFonts w:cs="Times New Roman" w:ascii="Times New Roman" w:hAnsi="Times New Roman"/>
            <w:sz w:val="28"/>
            <w:szCs w:val="28"/>
          </w:rPr>
          <w:t>2.2.9 пункта 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раздела, содержатся в постановлении администрации муниципального образования «Тереньгульский район» об утверждении муниципальной программы, издаваемом в порядке, установленном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 администрацией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6"/>
      <w:bookmarkEnd w:id="9"/>
      <w:r>
        <w:rPr>
          <w:rFonts w:cs="Times New Roman" w:ascii="Times New Roman" w:hAnsi="Times New Roman"/>
          <w:sz w:val="28"/>
          <w:szCs w:val="28"/>
        </w:rPr>
        <w:t xml:space="preserve">Компонент муниципальной программы, определённый </w:t>
      </w:r>
      <w:hyperlink w:anchor="P132">
        <w:r>
          <w:rPr>
            <w:rFonts w:cs="Times New Roman" w:ascii="Times New Roman" w:hAnsi="Times New Roman"/>
            <w:sz w:val="28"/>
            <w:szCs w:val="28"/>
          </w:rPr>
          <w:t>подпунктом 2.2.10 пункта 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раздела, утверждается в соответствии с 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 об организации проектной деятельности на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Порядок разработки 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Муниципальные программы разрабатываются с учётом требований, установленных </w:t>
      </w:r>
      <w:hyperlink w:anchor="P78">
        <w:r>
          <w:rPr>
            <w:rFonts w:cs="Times New Roman" w:ascii="Times New Roman" w:hAnsi="Times New Roman"/>
            <w:sz w:val="28"/>
            <w:szCs w:val="28"/>
          </w:rPr>
          <w:t>пунктами 1.4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w:anchor="P95">
        <w:r>
          <w:rPr>
            <w:rFonts w:cs="Times New Roman" w:ascii="Times New Roman" w:hAnsi="Times New Roman"/>
            <w:sz w:val="28"/>
            <w:szCs w:val="28"/>
          </w:rPr>
          <w:t>1.6 раздела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в соответствии с приоритетами, целями, задачами и направлениями социально-экономического развития муниципального образования «Тереньгульский район», определёнными Стратегией, документами стратегического планирования Ульяновской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разработке муниципальных программ учитываются цели и задачи национальных проектов, государственных программ Ульяновской области, реализуемых в соответствующих сферах.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муниципальных программ осуществляется на основании перечня муниципальных программ, который утверждается администрацией муниципального образования «Тереньгульский район» и должен содержать наименования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Проект перечня муниципальных программ подготавливается Управлением экономического и стратегического развития администрации муниципального образования «Тереньгульский район», координирующего вопросы разработки реализации муниципальных программ, на основании положений нормативных правовых актов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в перечень муниципальных программ изменений осуществляется по решению администрации муниципального образования «Тереньгульский район» до 1 августа текущего финансового года с учётом предложений МУ Финансовый отдел муниципального образования «Тереньгульский район», подготовленных в соответствии с положениями нормативных правовых актов администрации муниципального образования «Тереньгульский район», а также с учётом предложений главных распорядителей средств бюджета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r>
        <w:rPr>
          <w:rFonts w:cs="Times New Roman" w:ascii="Times New Roman" w:hAnsi="Times New Roman"/>
          <w:sz w:val="28"/>
          <w:szCs w:val="28"/>
        </w:rPr>
        <w:t>Не допускается внесение предложений о включении в перечень муниципальных программ новых муниципальных программ, цели которых могут быть достигнуты и задачи которых могут быть решены в процессе реализации одной из уже утверждённых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2"/>
      <w:bookmarkEnd w:id="11"/>
      <w:r>
        <w:rPr>
          <w:rFonts w:cs="Times New Roman" w:ascii="Times New Roman" w:hAnsi="Times New Roman"/>
          <w:sz w:val="28"/>
          <w:szCs w:val="28"/>
        </w:rPr>
        <w:t xml:space="preserve">3.3. Муниципальные программы, предлагаемые к реализации начиная с очередного финансового года, подлежат утверждению администрацией муниципального образования «Тереньгульский район» до 01 октября текущего финансового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Приведение показателей муниципальной программы в соответствие с утвержденными показателями бюджета осуществляется в соответствии с 179 ст. БК РФ.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ранее утвержденные муниципальные программы, подлежат утверждению Администрацией муниципального образования «Тереньгульский район» не позднее трех месяцев со дня утверждения решения, предусматривающего внесение в решение о бюджете муниципального образования «Тереньгульский район» на очередной финансовый год и плановый период изменений.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Порядок рассмотрения проектов муниципальных программ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проектов постановлений администрации муниципального </w:t>
      </w:r>
      <w:r>
        <w:rPr>
          <w:rFonts w:cs="Times New Roman" w:ascii="Times New Roman" w:hAnsi="Times New Roman"/>
          <w:bCs/>
          <w:sz w:val="28"/>
          <w:szCs w:val="28"/>
        </w:rPr>
        <w:t>образования «Тереньгульский район»</w:t>
      </w:r>
      <w:r>
        <w:rPr>
          <w:rFonts w:cs="Times New Roman" w:ascii="Times New Roman" w:hAnsi="Times New Roman"/>
          <w:b/>
          <w:sz w:val="28"/>
          <w:szCs w:val="28"/>
        </w:rPr>
        <w:t xml:space="preserve"> о внесении в муниципальные программы изменений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</w:t>
      </w:r>
      <w:bookmarkStart w:id="12" w:name="P174"/>
      <w:bookmarkStart w:id="13" w:name="P186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К проекту муниципальной программы или проекту постановления администрации муниципального образования «Тереньгульский район» о внесении в муниципальную программу изменений прилагаются подписанные руководителем ответственного исполнителя или иным уполномоченным должностным лицом ответственного исполнителя: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пояснительная записка, раскрывающая основное содержание муниципальной программы или вносимых в неё и её структурные элементы изменений. При этом пояснительная записка к проекту постановления администрации муниципального образования «Тереньгульский район» о внесении в муниципальную программу изменений должна также содержать описание влияния предлагаемых изменений на значения показателей и мероприятия (результаты) муниципальной 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финансово-экономическое обоснование объёма расходов, связанных с реализацией муниципальной программы (в том числе в случае внесения в неё предлагаемых изменений);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4.2.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Times New Roman" w:hAnsi="Times New Roman"/>
          <w:sz w:val="28"/>
          <w:szCs w:val="28"/>
        </w:rPr>
        <w:t xml:space="preserve">отдел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осуществляют экспертизу проекта муниципальной программы в течение 5 рабочих дней со дня поступления муниципальной программы на рассмотрение.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4.2.1.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 экспертизу предоставленного проекта муниципальной программы на соответствие требованиям к содержанию и структуре муниципальной программы согласно настоящих Правил.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4.2.2.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МУ Финансовый отдел муниципального образования «Тереньгульский район»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 экспертизу проекта муниципальной программы в части финансового обеспечения мероприятий программы средствами бюджета.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4.2.3. Отдел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проводит экспертизу соответствия представленного проекта нормам действующего законодательства.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4.2.4. Ответственный исполнитель дорабатывает проект муниципальной программы при наличии замечаний и предложений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Times New Roman" w:hAnsi="Times New Roman"/>
          <w:sz w:val="28"/>
          <w:szCs w:val="28"/>
        </w:rPr>
        <w:t xml:space="preserve">отдела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4.3. Для осуществления финансового контроля проект муниципальной программы направляется в Контрольно-счетную палату муниципального образования «Тереньгульский район» для проведения экспертизы. Контрольно-счетная палата готовит заключение по проекту в течение 3 рабочих дней.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По итогам получения положительной экспертизы ответственный исполнитель обеспечивает подготовку постановления администрации муниципального образования «Тереньгульский район» к утверждению.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Финансовое обеспечение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Объём финансового обеспечения реализации муниципальной программы в течение срока её реализации планируется на основании потребности в реализации мероприятий, исходя из необходимости достижения целей и приоритетов социально-экономического развития муниципального образования «Тереньгульский район», с учетом положений приказа муниципального учреждения Финансовый отдел муниципального образования «Тереньгульский район» от </w:t>
      </w:r>
      <w:r>
        <w:rPr>
          <w:rFonts w:cs="Times New Roman" w:ascii="Times New Roman" w:hAnsi="Times New Roman"/>
          <w:color w:val="000000"/>
          <w:sz w:val="28"/>
          <w:szCs w:val="28"/>
        </w:rPr>
        <w:t>01.08.2016г. № 25-пр «Об утверждении Порядка и Методики планирования бюджетных ассигнований бюджета муниципального образования «Тереньгульский район» на очередной финансовый год и плановый период» (с изм. от 14.07.2023г. №25-пр).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Финансовое обеспечение реализации муниципальной программы осуществляется за счёт бюджетных ассигнований муниципального образования «Тереньгульский район», источниками финансового обеспечения которых 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 Объём финансового обеспечения реализации муниципальной программы за счёт бюджетных ассигнований бюджета муниципального образования «Тереньгульский район» за пределами планового периода определяется исходя из предельного объёма расходов, связанных с реализацией муниципальной программы, в соответствии с бюджетным прогнозом муниципального образования «Тереньгульский район» на долгосрочный период (в случае принятия решения по его формированию). В случае отсутствия бюджетного прогноза, общий объем расходов муниципальной программы за пределами планового периода остается на уровне первоначально-утвержденных показателей.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Объём финансового обеспечения реализации муниципальной программы отражается в муниципальной программе в разрезе источников бюджетных ассигнований бюджета муниципального образования «Тереньгульский район» на финансовое обеспечение её реализации по годам реализации муниципальной программы в целом, а также с детализацией по её структурным элементам и мероприятиям (результатам).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Объём финансового обеспечения реализации муниципальной программы и её структурных элементов отражается в муниципальной программе в тысячах рублей с точностью до не менее чем одного знака после запятой.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Планирование бюджетных ассигнований бюджета муниципального образования «Тереньгульский район»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образования, а также с учётом результатов реализации муниципальной программы за предыдущий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Управление и контроль за ходом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Реализация муниципальной программы осуществляется в соответствии с компонентами, из которых она состоит.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3 рабочих дней со дня утверждения паспорта структурного элемента муниципальной программы или внесённых в него изменений паспорт структурного элемента (изменения в паспорт структурного элемента) направляется ответственным исполнителем в Управление экономического и стратегического развития администрации муниципального образования «Тереньгульский район», и размещается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1"/>
      <w:bookmarkEnd w:id="14"/>
      <w:r>
        <w:rPr>
          <w:rFonts w:cs="Times New Roman" w:ascii="Times New Roman" w:hAnsi="Times New Roman"/>
          <w:sz w:val="28"/>
          <w:szCs w:val="28"/>
        </w:rPr>
        <w:t>6.2. В целях обеспечения надлежащего управления реализацией муниципальной программы за каждой муниципальной программой закрепляется один куратор, которым может быть лицо, замещающее должность муниципальной службы администрации муниципального образования «Тереньгульский район» в соответствии с правовым актом администрации муниципального образования «Тереньгульский район». Куратор муниципальной программы в пределах своей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согласовывает стратегические приоритеты, цели, показатели и структуру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согласовывает в процессе составления проекта местного бюджета муниципального образования «Тереньгульский район» на очередной финансовый год и плановый период объём финансового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согласовывает решение о необходимости внесения в муниципальную программу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вносит в администрацию муниципального образования «Тереньгульский район»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урегулирует разногласия между ответственным исполнителем и соисполнителями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Ответственный исполнитель: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организует разработку муниципальной программы, обеспечивает согласование и внесение проекта муниципальной программы (проекта постановления администрации муниципального образования «Тереньгульский район» о внесении в муниципальную программу изменений), а также обеспечивает реализацию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запрашивает у соисполнителей муниципальной программы информацию, необходимую для разработки муниципальной программы или внесения в неё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рекомендует соисполнителям муниципальной программы обеспечить разработку отдельных мероприятий и планов, связанных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согласовывает с соисполнителями муниципальной программы сроки реализации структурных элементов муниципальной программы, объемы и источники финансового обеспечения их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издает в пределах своих полномочий нормативные правовые акты, необходимые для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подготавливает предложения об уточнении мероприятий (результатов) муниципальной программы и их финансового обеспечения;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координирует деятельность соисполнителей и участников муниципальной программы, связанную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несет ответственность за реализацию мероприятий, достижение целей, значений показателей и результатов муниципальной программы, а также контрольных точек;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разрабатывает и принимает меры, направленные на привлечение в целях финансового обеспечения реализации муниципальной программы средств областного бюджета и (или) средств внебюджетных источников;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9.1) представляет в 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ежеквартально не позднее десятого рабочего дня месяца, следующего за отчётным кварталом: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ежеквартальный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ежеквартальный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указанных отчётах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представляет в МУ Финансовый отдел муниципального образования «Тереньгульский район», ежеквартально до десятого числа месяца, следующего за отчётным кварталом, ежеквартальный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указанном отчёте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73"/>
      <w:bookmarkEnd w:id="15"/>
      <w:r>
        <w:rPr>
          <w:rFonts w:cs="Times New Roman" w:ascii="Times New Roman" w:hAnsi="Times New Roman"/>
          <w:sz w:val="28"/>
          <w:szCs w:val="28"/>
        </w:rPr>
        <w:t>11) представляет в Управление экономического и стратегического развития администрации муниципального образования «Тереньгульский район ежегодно до 8 февраля года, следующего за отчётным годом: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район», и согласованный с муниципальным проектным офисом;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указанных отчётах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после представления в Управление экономического и стратегического развития администрации муниципального образования «Тереньгульский район»  годового отчёта о ходе реализации муниципальной программы появились более точные данные о достижении значений показателей и мероприятий (результатов) муниципальной программы, в том числе данные федерального статистического наблюдения, а также информация о фактической реализации структурных элементов муниципальной программы, ответственный исполнитель  представляет в Управление экономического и стратегического развития администрации муниципального образования «Тереньгульский район», уточненный с учётом этих данных и информации годовой отчёт о ходе реализации муниципальной программы не позднее 10 марта года, следующего за отчётным;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11.1) подготавливает ежеквартальные и годовой отчёты о ходе реализации муниципальной программы с учётом отчётов о ходе реализации ее структурных элементов;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осуществляет формирование реестра документов, а также обеспечивает его актуальность и полноту. Ответственный исполнитель в течение 5 рабочих дней со дня получения от соисполнителей муниципальной программы информации о внесении в документы, входящие в состав муниципальной программы, изменений включает документы, внесшие эти изменения, в реестр документов, относящийся к соответствующей муниципальной программе;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ежеквартальный отчёт и годовой отчёт о ходе реализации муниципальной программы соответственно ежеквартально до 20 числа месяца, следующего за отчётным кварталом, и ежегодно до 15 февраля года, следующего за отчётным годом;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Соисполнители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участвуют в разработке и осуществляют реализацию структурных элементов муниципальной программы, за реализацию которых они являются ответственными;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обеспечивают 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представляют ответственному исполнителю информацию, необходимую для подготовки ежеквартального отчета не позднее пятого рабочего дня месяца, следующего за отчётным кварталом и годового отчета до 30 января года, следующего за отчётным годом о ходе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несут ответственность за реализацию мероприятий муниципальной программы, достижение значений показателей муниципальной программы и показателей структурных элементов муниципальной программы, значений мероприятий (результатов), а также контрольных точек в части, к ним относящейся;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несут ответственность за своевременное представление ответственному исполнителю перечня структурных элементов для включения в муниципальную программу;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вносят ответственному исполнителю предложения о внесении в муниципальную программу изменений, необходимых для достижения цели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выполняют решения ответственного исполнителя по вопросам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представляют ответственному исполнителю информацию, необходимую для подготовки ответов на запросы 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представляют ответственному исполнителю информацию о внесении в документы, входящие в состав муниципальной программы, изменений, не позднее 5 рабочих дней со дня утверждения соответствующих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Участники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обеспечивают реализацию отдельных мероприятий и достижение отдельных результатов структурных элементов муниципальной программы,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представляют ответственному исполнителю или соисполнителю муниципальной программы информацию, необходимую для формирования (уточнения, изменения) предусмотренных настоящими Правилами ежеквартального отчета не позднее пятого рабочего дня месяца, следующего за отчётным кварталом и годового отчета до 30 января года, следующего за отчётным годом о ходе реализации муниципальной программы и паспортов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Муниципальный проектный офис обеспечивает согласование проекта муниципальной программы или проекта постановления администрации муниципального образования «Тереньгульский район» о внесении в муниципальную программу изменений, а также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сведения об основных результатах реализации муниципальных программ, достигнутых в отчётном квартале;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сведения о выполнении мероприятий и достижении результатов и контрольных точек в отчётном квартале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сведения об объектах капитального строительства, создаваемых (созданных) в отчётном квартале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муниципального образования «Тереньгульский район»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 (в случае необходимости). Содержащиеся в указанном докладе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МУ Финансовый отдел муниципального образования «Тереньгульский район» 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 сведения об исполнении в отчётном квартале расходных обязательств муниципального образования «Тереньгульский район», связанных с реализацией муниципальных 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Порядок проведения оценки эффективности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программ, а также в иных целях, определённых настоящим разделом.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Управление экономического и стратегического развития администрации муниципального образования «Тереньгульский район» ежегодно не позднее 1 апреля, подготавливает и направляет Главе администрации муниципального образования «Тереньгульский район» сводный годовой доклад о ходе реализации и об оценке эффективности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сведения об основных результатах реализации муниципальных программ, достигнутых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сведения о выполнении мероприятий, а также о достижении результатов и контрольных точек структурных элементов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сведения об объектах капитального строительства, создававшихся (созданных) в отчётном году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сведения о результатах анализа факторов, повлиявших на ход реализации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сведения о результатах оценки эффективности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предложения об изменении форм и методов управления реализацией муниципальных программ, о сокращении (увеличении) объёмов бюджетных ассигнований бюджета муниципального образования «Тереньгульский район»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предложения о применении к руководителю ответственного исполнителя и (или) соисполнителя муниципальной программы дисциплинарных взысканий в случаях недостижения по итогам отчётного года запланированных результатов реализации муниципальной программы и (или) установления по итогам отчётного года низкой степени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МУ Финансовый отдел муниципального образования «Тереньгульский район» не позднее 1 апреля, подготавливает и направляет в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сведения об исполнении в отчётном году средств местного бюджета, связанных с реализацией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Интегральная оценка эффективности реализации муниципальных программ (далее - интегральная оценка) осуществляется в соответствии с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На основе полученных значений интегральной оценки эффективности реализации муниципальных программ устанавливаются: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высокая степень эффективности реализации муниципальной программы, если эффективность ее реализации составляет 97 процентов и более;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степень эффективности реализации муниципальной программы выше средней, если эффективность ее реализации составляет от 85 процентов до 97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средняя степень эффективности реализации муниципальной программы, если эффективность ее реализации составляет от 75 процентов до 85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низкая степень эффективности реализации муниципальной программы, если эффективность ее реализации составляет 75 процентов и менее.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Низкая степень эффективности реализации муниципальной программы устанавливается также в случае непредставления ответственным исполнителем муниципальной программы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Times New Roman" w:hAnsi="Times New Roman"/>
            <w:sz w:val="28"/>
            <w:szCs w:val="28"/>
          </w:rPr>
          <w:t>подпунктом 13 пункта 6.3 раздела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В целях подготовки сводного годового доклада о ходе реализации и об оценке эффективности муниципальных программ Управление экономического и стратегического развития администрации муниципального образования «Тереньгульский район вправе запрашивать у ответственных исполнителей, соисполнителей и участников муниципальных программ дополнительную информацию о ходе реализации муниципальных программ и их структурных элементов.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7.7. При подготовке сводного годового доклада о ходе реализации и об оценке эффективности муниципальных программ составляется рейтинг эффективности реализации муниципальных программ исходя из установленных степеней эффективности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7.8. В случае непредставления ответственным исполнителем муниципальной программы уточнённого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Times New Roman" w:hAnsi="Times New Roman"/>
            <w:sz w:val="28"/>
            <w:szCs w:val="28"/>
          </w:rPr>
          <w:t>подпунктом 13 пункта 6.3 раздела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методических рекомендаций, эффективность реализации соответствующей муниципальной программы подлежит оценке на основании сведений, содержащихся в неуточнённом годовом отчёте.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7.9. В случае обнаружения отрицательных результатов реализации муниципальной программы администрация муниципального образования «Тереньгульский район»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в муниципальную программу изменений (в том числе изменений, предусматривающих корректировку целей, задач и сроков реализации муниципальной программы, форм и методов управления реализацией муниципальной программы, объёма средств местного бюджета муниципального образования «Тереньгульский район» на финансовое обеспечение реализации муниципальной программы или определение в качестве её ответственного исполнителя другого исполнителя;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досрочном прекращении реализации отдельных структурных элементов муниципальной программы или муниципальной программы в целом начиная с первого числа очередного финансового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лицам, имеющим право применять к руководителям ответственного исполнителя и (или) соисполнителей муниципальной программы, предложений о применении к указанным руководителям дисциплинарных взысканий.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изменении объёма бюджетных ассигнований бюджета муниципального образования «Тереньгульский район» на финансовое обеспечение реализации муниципальной программы или о досрочном прекращении реализации муниципальной программы принимается не позднее чем за 30 дней до дня внесения в совет депутатов муниципального образования «Тереньгульский район» решения совета депутатов о местном бюджете муниципального образования «Тереньгульский район» на очередной финансовый год и на плановый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 В случае принятия решения о необходимости изменения объёма бюджетных ассигнований бюджета муниципального образования «Тереньгульский район» на финансовое обеспечение реализации муниципальной программы либо о внесении в неё иных изменений ответственный исполнитель в сроки, установленные настоящими Правилами, подготавливает проект постановления администрации муниципального образования «Тереньгульский район» о внесении в муниципальную программу изменений соответствующих изменений.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 Управление экономического и стратегического развития администрации муниципального образования «Тереньгульский район» размещает сводный годовой доклад о ходе реализации и об оценке эффективности муниципальных программ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16" w:name="P355"/>
      <w:bookmarkEnd w:id="16"/>
      <w:r>
        <w:rPr>
          <w:sz w:val="28"/>
          <w:szCs w:val="28"/>
        </w:rPr>
        <w:t>РЕЕСТР ДОКУМЕНТОВ,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входящих в состав муниципальной программы</w:t>
      </w:r>
    </w:p>
    <w:p>
      <w:pPr>
        <w:pStyle w:val="ConsPlusNormal"/>
        <w:jc w:val="center"/>
        <w:rPr/>
      </w:pPr>
      <w:r>
        <w:rPr/>
        <w:t>___________________________________________</w:t>
      </w:r>
    </w:p>
    <w:p>
      <w:pPr>
        <w:pStyle w:val="ConsPlusNormal"/>
        <w:jc w:val="center"/>
        <w:rPr/>
      </w:pPr>
      <w:r>
        <w:rPr/>
        <w:t>(наименование муниципальной программы)</w:t>
      </w:r>
    </w:p>
    <w:p>
      <w:pPr>
        <w:pStyle w:val="ConsPlusNormal"/>
        <w:jc w:val="center"/>
        <w:rPr/>
      </w:pPr>
      <w:r>
        <w:rPr/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6"/>
        <w:gridCol w:w="1275"/>
        <w:gridCol w:w="1276"/>
        <w:gridCol w:w="1756"/>
        <w:gridCol w:w="1304"/>
        <w:gridCol w:w="1419"/>
        <w:gridCol w:w="14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Тип документа </w:t>
            </w:r>
            <w:hyperlink w:anchor="P444">
              <w:r>
                <w:rPr/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Вид документа </w:t>
            </w:r>
            <w:hyperlink w:anchor="P445">
              <w:r>
                <w:rPr/>
                <w:t>&lt;2&gt;</w:t>
              </w:r>
            </w:hyperlink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Наименование документа </w:t>
            </w:r>
            <w:hyperlink w:anchor="P446">
              <w:r>
                <w:rPr/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Реквизиты документа </w:t>
            </w:r>
            <w:hyperlink w:anchor="P447">
              <w:r>
                <w:rPr/>
                <w:t>&lt;4&gt;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Разработчик документа </w:t>
            </w:r>
            <w:hyperlink w:anchor="P448">
              <w:r>
                <w:rPr/>
                <w:t>&lt;5&gt;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Гиперссылка на текст документа </w:t>
            </w:r>
            <w:hyperlink w:anchor="P449">
              <w:r>
                <w:rPr/>
                <w:t>&lt;6&gt;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Муниципальная программа муниципального образования «Тереньгульский район» Ульяновской области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Структурный элемент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Структурный элемент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ind w:firstLine="539"/>
        <w:jc w:val="both"/>
        <w:rPr/>
      </w:pPr>
      <w:bookmarkStart w:id="17" w:name="P444"/>
      <w:bookmarkEnd w:id="17"/>
      <w:r>
        <w:rPr/>
        <w:t>&lt;1&gt; Указывается тип документа, входящего в состав муниципальной программы, в соответствии с методическими указаниями по вопросам разработки и реализации муниципальных программ, утверждёнными органом, координирующим вопросы разработки реализации муниципальных программ.</w:t>
      </w:r>
    </w:p>
    <w:p>
      <w:pPr>
        <w:pStyle w:val="ConsPlusNormal"/>
        <w:ind w:firstLine="539"/>
        <w:jc w:val="both"/>
        <w:rPr/>
      </w:pPr>
      <w:bookmarkStart w:id="18" w:name="P445"/>
      <w:bookmarkEnd w:id="18"/>
      <w:r>
        <w:rPr/>
        <w:t>&lt;2&gt; Указывается вид документа (например, постановление администрации муниципального образования, приказ (распоряжение), протокол и т.п.).</w:t>
      </w:r>
    </w:p>
    <w:p>
      <w:pPr>
        <w:pStyle w:val="ConsPlusNormal"/>
        <w:ind w:firstLine="539"/>
        <w:jc w:val="both"/>
        <w:rPr/>
      </w:pPr>
      <w:bookmarkStart w:id="19" w:name="P446"/>
      <w:bookmarkEnd w:id="19"/>
      <w:r>
        <w:rPr/>
        <w:t>&lt;3&gt; Указывается наименование изданного (утверждённого) документа.</w:t>
      </w:r>
    </w:p>
    <w:p>
      <w:pPr>
        <w:pStyle w:val="ConsPlusNormal"/>
        <w:ind w:firstLine="539"/>
        <w:jc w:val="both"/>
        <w:rPr/>
      </w:pPr>
      <w:bookmarkStart w:id="20" w:name="P447"/>
      <w:bookmarkEnd w:id="20"/>
      <w:r>
        <w:rPr/>
        <w:t>&lt;4&gt; Указываются дата и номер изданного (утверждённого) документа.</w:t>
      </w:r>
    </w:p>
    <w:p>
      <w:pPr>
        <w:pStyle w:val="ConsPlusNormal"/>
        <w:ind w:firstLine="539"/>
        <w:jc w:val="both"/>
        <w:rPr/>
      </w:pPr>
      <w:bookmarkStart w:id="21" w:name="P448"/>
      <w:bookmarkEnd w:id="21"/>
      <w:r>
        <w:rPr/>
        <w:t>&lt;5&gt; Указывается наименование исполнителя или соисполнителя муниципальной программы, ответственного за разработку документа.</w:t>
      </w:r>
    </w:p>
    <w:p>
      <w:pPr>
        <w:pStyle w:val="ConsPlusNormal"/>
        <w:ind w:firstLine="539"/>
        <w:jc w:val="both"/>
        <w:rPr/>
      </w:pPr>
      <w:bookmarkStart w:id="22" w:name="P449"/>
      <w:bookmarkEnd w:id="22"/>
      <w:r>
        <w:rPr/>
        <w:t>&lt;6&gt; Указывается гиперссылка на текст документа, размещённого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23" w:name="P461"/>
      <w:bookmarkEnd w:id="23"/>
      <w:r>
        <w:rPr>
          <w:sz w:val="28"/>
          <w:szCs w:val="28"/>
        </w:rPr>
        <w:t>ПАСПОРТ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«_________________________________________»</w:t>
      </w:r>
    </w:p>
    <w:p>
      <w:pPr>
        <w:pStyle w:val="ConsPlusNormal"/>
        <w:jc w:val="center"/>
        <w:rPr/>
      </w:pPr>
      <w:r>
        <w:rPr/>
        <w:t>(наименование муниципальной программы)</w:t>
      </w:r>
    </w:p>
    <w:p>
      <w:pPr>
        <w:pStyle w:val="ConsPlusNormal"/>
        <w:jc w:val="center"/>
        <w:rPr/>
      </w:pPr>
      <w:r>
        <w:rPr/>
      </w:r>
    </w:p>
    <w:tbl>
      <w:tblPr>
        <w:tblW w:w="92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045"/>
        <w:gridCol w:w="4163"/>
      </w:tblGrid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(последнее - в случае его наличия),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замещаемой должности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headerReference w:type="default" r:id="rId3"/>
          <w:footerReference w:type="first" r:id="rId4"/>
          <w:type w:val="nextPage"/>
          <w:pgSz w:w="11906" w:h="16838"/>
          <w:pgMar w:left="1701" w:right="850" w:header="708" w:top="1134" w:footer="1134" w:bottom="1134" w:gutter="0"/>
          <w:pgNumType w:fmt="decimal"/>
          <w:formProt w:val="false"/>
          <w:titlePg/>
          <w:textDirection w:val="lrTb"/>
          <w:docGrid w:type="default" w:linePitch="360" w:charSpace="8192"/>
        </w:sectPr>
      </w:pP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24" w:name="P497"/>
      <w:bookmarkEnd w:id="24"/>
      <w:r>
        <w:rPr>
          <w:sz w:val="28"/>
          <w:szCs w:val="28"/>
        </w:rPr>
        <w:t>ПЕРЕЧЕНЬ ПОКАЗАТЕЛЕЙ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ConsPlusNormal"/>
        <w:jc w:val="center"/>
        <w:rPr/>
      </w:pPr>
      <w:r>
        <w:rPr/>
        <w:t>(наименование муниципальной программы)</w:t>
      </w:r>
    </w:p>
    <w:tbl>
      <w:tblPr>
        <w:tblW w:w="135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1246"/>
        <w:gridCol w:w="1020"/>
        <w:gridCol w:w="1418"/>
        <w:gridCol w:w="1418"/>
        <w:gridCol w:w="794"/>
        <w:gridCol w:w="538"/>
        <w:gridCol w:w="539"/>
        <w:gridCol w:w="848"/>
        <w:gridCol w:w="849"/>
        <w:gridCol w:w="737"/>
        <w:gridCol w:w="1361"/>
        <w:gridCol w:w="1104"/>
        <w:gridCol w:w="1105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Наименование показателя </w:t>
            </w:r>
            <w:hyperlink w:anchor="P576">
              <w:r>
                <w:rPr/>
                <w:t>&lt;1&gt;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577">
              <w:r>
                <w:rPr/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7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</w:t>
            </w:r>
            <w:hyperlink w:anchor="P578">
              <w:r>
                <w:rPr/>
                <w:t>&lt;3&gt;</w:t>
              </w:r>
            </w:hyperlink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Документ </w:t>
            </w:r>
            <w:hyperlink w:anchor="P579">
              <w:r>
                <w:rPr/>
                <w:t>&lt;4&gt;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Ответственный за достижение значений показателя </w:t>
            </w:r>
            <w:hyperlink w:anchor="P580">
              <w:r>
                <w:rPr/>
                <w:t>&lt;5&gt;</w:t>
              </w:r>
            </w:hyperlink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Связь с показателями </w:t>
            </w:r>
            <w:hyperlink w:anchor="P581">
              <w:r>
                <w:rPr/>
                <w:t>&lt;6&gt;</w:t>
              </w:r>
            </w:hyperlink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Информационная система </w:t>
            </w:r>
            <w:hyperlink w:anchor="P582">
              <w:r>
                <w:rPr/>
                <w:t>&lt;7&gt;</w:t>
              </w:r>
            </w:hyperlink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5" w:name="P576"/>
      <w:bookmarkEnd w:id="25"/>
      <w:r>
        <w:rPr/>
        <w:t>&lt;1&gt; Приводятся наименования показателей уровня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6" w:name="P577"/>
      <w:bookmarkEnd w:id="26"/>
      <w:r>
        <w:rPr/>
        <w:t>&lt;2&gt; Указывается соответствие показателя, декомпозированного для муниципальной программы, государственной программе Ульяновской области («ГП») и прочие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7" w:name="P578"/>
      <w:bookmarkEnd w:id="27"/>
      <w:r>
        <w:rPr/>
        <w:t>&lt;3&gt; Здесь и далее в качестве базового значения показателя указывается его фактическое значение за год, предшествующий году разработки проекта муниципальной программы. В случае отсутствия такого фактического значения в качестве базового значения приводится плановое (прогнозное) значение.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8" w:name="P579"/>
      <w:bookmarkEnd w:id="28"/>
      <w:r>
        <w:rPr/>
        <w:t>&lt;4&gt; Отражаются документы, в соответствии с которыми данный показатель определен как приоритетный (документ стратегического планирования, прочие).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9" w:name="P580"/>
      <w:bookmarkEnd w:id="29"/>
      <w:r>
        <w:rPr/>
        <w:t>&lt;5&gt; Указывается наименование органа местного самоуправления муниципального образования Ульяновской области, ответственного за достижение значения показателя.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0" w:name="P581"/>
      <w:bookmarkEnd w:id="30"/>
      <w:r>
        <w:rPr/>
        <w:t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1" w:name="P582"/>
      <w:bookmarkEnd w:id="31"/>
      <w:r>
        <w:rPr/>
        <w:t>&lt;7&gt; Указывается информационная система, содержащая информацию о показателях муниципальной программы и их значениях (в случае размещения в указанных информационных системах соответствующей информации).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299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32" w:name="P591"/>
      <w:bookmarkEnd w:id="32"/>
      <w:r>
        <w:rPr>
          <w:sz w:val="28"/>
          <w:szCs w:val="28"/>
        </w:rPr>
        <w:t>СИСТЕМА СТРУКТУРНЫХ ЭЛЕМЕНТОВ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center"/>
        <w:rPr>
          <w:sz w:val="28"/>
          <w:szCs w:val="28"/>
        </w:rPr>
      </w:pPr>
      <w:r>
        <w:rPr/>
      </w:r>
    </w:p>
    <w:tbl>
      <w:tblPr>
        <w:tblW w:w="905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6"/>
        <w:gridCol w:w="4311"/>
        <w:gridCol w:w="2086"/>
        <w:gridCol w:w="208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Задачи структурного элемента муниципальной программы </w:t>
            </w:r>
            <w:hyperlink w:anchor="P658">
              <w:r>
                <w:rPr/>
                <w:t>&lt;1&gt;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Краткое описание ожидаемых эффектов от решения задачи структурного элемента муниципальной программы </w:t>
            </w:r>
            <w:hyperlink w:anchor="P659">
              <w:r>
                <w:rPr/>
                <w:t>&lt;2&gt;</w:t>
              </w:r>
            </w:hyperlink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Связь структурного элемента с показателями муниципальной программы </w:t>
            </w:r>
            <w:hyperlink w:anchor="P660">
              <w:r>
                <w:rPr/>
                <w:t>&lt;3&gt;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Направление (подпрограмма) «Наименование» </w:t>
            </w:r>
            <w:hyperlink w:anchor="P661">
              <w:r>
                <w:rPr/>
                <w:t>&lt;4&gt;</w:t>
              </w:r>
            </w:hyperlink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Проект «Наименование» </w:t>
            </w:r>
            <w:hyperlink w:anchor="P662">
              <w:r>
                <w:rPr/>
                <w:t>&lt;5&gt;</w:t>
              </w:r>
            </w:hyperlink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(фамилия, имя, отчество (последнее - в случае его наличия) куратора проекта) </w:t>
            </w:r>
            <w:hyperlink w:anchor="P663">
              <w:r>
                <w:rPr/>
                <w:t>&lt;6&gt;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(год начала - год окончания)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Структурные элементы, не входящие в направления (подпрограммы) муниципальной программы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Проект «Наименование» </w:t>
            </w:r>
            <w:hyperlink w:anchor="P664">
              <w:r>
                <w:rPr/>
                <w:t>&lt;7&gt;</w:t>
              </w:r>
            </w:hyperlink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(фамилия, имя, отчество (последнее - в случае его наличия) куратора проекта) </w:t>
            </w:r>
            <w:hyperlink w:anchor="P665">
              <w:r>
                <w:rPr/>
                <w:t>&lt;8&gt;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(год начала - год окончания)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3" w:name="P658"/>
      <w:bookmarkEnd w:id="33"/>
      <w:r>
        <w:rPr/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4" w:name="P659"/>
      <w:bookmarkEnd w:id="34"/>
      <w:r>
        <w:rPr/>
        <w:t>&lt;2&gt; Приводится краткое описание социальных, экономических и иных эффектов решения каждой задачи структурного элемента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5" w:name="P660"/>
      <w:bookmarkEnd w:id="35"/>
      <w:r>
        <w:rPr/>
        <w:t>&lt;3&gt; Указываются наименования показателей уровня муниципальной программы, на достижение значений которых направлен структурный элемент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6" w:name="P661"/>
      <w:bookmarkEnd w:id="36"/>
      <w:r>
        <w:rPr/>
        <w:t>&lt;4&gt; Приводится при наличии.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7" w:name="P662"/>
      <w:bookmarkEnd w:id="37"/>
      <w:r>
        <w:rPr/>
        <w:t>&lt;5&gt; Указывается тип проекта.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8" w:name="P663"/>
      <w:bookmarkEnd w:id="38"/>
      <w:r>
        <w:rPr/>
        <w:t>&lt;6&gt; Указывается куратор проекта в соответствии с паспортом соответствующего проекта (при наличии).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9" w:name="P664"/>
      <w:bookmarkEnd w:id="39"/>
      <w:r>
        <w:rPr/>
        <w:t>&lt;7&gt; Указывается тип проекта.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40" w:name="P665"/>
      <w:bookmarkEnd w:id="40"/>
      <w:r>
        <w:rPr/>
        <w:t>&lt;8&gt; Указывается куратор проекта в соответствии с паспортом соответствующего проекта (при наличии).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41" w:name="P677"/>
      <w:bookmarkEnd w:id="41"/>
      <w:r>
        <w:rPr>
          <w:sz w:val="28"/>
          <w:szCs w:val="28"/>
        </w:rPr>
        <w:t>ФИНАНСОВОЕ ОБЕСПЕЧЕНИЕ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муниципального образования «Тереньгульский район» 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муниципальной программы)</w:t>
      </w:r>
    </w:p>
    <w:tbl>
      <w:tblPr>
        <w:tblW w:w="13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2494"/>
        <w:gridCol w:w="1679"/>
        <w:gridCol w:w="3687"/>
        <w:gridCol w:w="1400"/>
        <w:gridCol w:w="1260"/>
        <w:gridCol w:w="840"/>
        <w:gridCol w:w="840"/>
        <w:gridCol w:w="83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Наименования муниципальной программы, структурного элемента, мероприятия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Ответственные исполнители мероприятия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</w:tr>
      <w:tr>
        <w:trPr/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Муниципальная программа Ульяновской области «Наименование»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(далее – местный бюджет)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Направление (подпрограмма) «Наименование»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Структурные элементы, не входящие в направления (подпрограммы)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1151"/>
      <w:bookmarkEnd w:id="42"/>
      <w:r>
        <w:rPr>
          <w:rFonts w:cs="Times New Roman" w:ascii="Times New Roman" w:hAnsi="Times New Roman"/>
          <w:sz w:val="28"/>
          <w:szCs w:val="28"/>
        </w:rPr>
        <w:t>ПЛАН ДОСТИЖЕНИЯ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значений показателей муниципальной программы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«____________________________________________» в __________ году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муниципальной программы)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lang w:val="en-US"/>
        </w:rPr>
      </w:pPr>
      <w:r>
        <w:rPr>
          <w:lang w:val="en-US"/>
        </w:rPr>
      </w:r>
    </w:p>
    <w:tbl>
      <w:tblPr>
        <w:tblStyle w:val="af4"/>
        <w:tblW w:w="14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3"/>
        <w:gridCol w:w="1844"/>
        <w:gridCol w:w="2551"/>
        <w:gridCol w:w="1985"/>
        <w:gridCol w:w="1297"/>
        <w:gridCol w:w="1299"/>
        <w:gridCol w:w="1298"/>
        <w:gridCol w:w="1298"/>
        <w:gridCol w:w="2425"/>
      </w:tblGrid>
      <w:tr>
        <w:trPr>
          <w:trHeight w:val="658" w:hRule="atLeast"/>
        </w:trPr>
        <w:tc>
          <w:tcPr>
            <w:tcW w:w="563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Единица измерения значения показателя (по ОКЕИ)</w:t>
            </w:r>
          </w:p>
        </w:tc>
        <w:tc>
          <w:tcPr>
            <w:tcW w:w="5192" w:type="dxa"/>
            <w:gridSpan w:val="4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3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II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III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IV</w:t>
            </w:r>
          </w:p>
        </w:tc>
        <w:tc>
          <w:tcPr>
            <w:tcW w:w="2425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9</w:t>
            </w:r>
          </w:p>
        </w:tc>
      </w:tr>
      <w:tr>
        <w:trPr/>
        <w:tc>
          <w:tcPr>
            <w:tcW w:w="14560" w:type="dxa"/>
            <w:gridSpan w:val="9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Цель МП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1.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…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ПРИЛОЖЕНИЕ № 7</w:t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ОЦЕНКА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предполагаемых результатов применения инструментов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муниципального регулирования</w:t>
      </w:r>
      <w:r>
        <w:rPr>
          <w:rStyle w:val="Style18"/>
          <w:rFonts w:eastAsia="Times New Roman" w:ascii="Times New Roman" w:hAnsi="Times New Roman"/>
          <w:b/>
          <w:color w:val="0D0D0D"/>
          <w:sz w:val="28"/>
          <w:szCs w:val="28"/>
          <w:lang w:eastAsia="ru-RU"/>
        </w:rPr>
        <w:footnoteReference w:id="2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0"/>
        <w:gridCol w:w="851"/>
        <w:gridCol w:w="3684"/>
      </w:tblGrid>
      <w:tr>
        <w:trPr>
          <w:trHeight w:val="49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Наименование инструмента муниципального регулирования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в разрезе структурных элементов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Показатель, характеризующий применение инструмента муниципального регулирования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Финансовая оценка предполагаемого результата применения инструмента муниципального регулирования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по годам реализации, тыс. руб.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Краткое обоснование необходимости применения инструментов муниципального регулирования для достижения цели (целеймуниципальной программы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5"/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N + 1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val="en-US" w:eastAsia="ru-RU"/>
              </w:rPr>
              <w:t>N + n</w:t>
            </w:r>
          </w:p>
        </w:tc>
        <w:tc>
          <w:tcPr>
            <w:tcW w:w="36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9" w:before="0" w:after="0"/>
        <w:rPr>
          <w:rFonts w:ascii="Times New Roman" w:hAnsi="Times New Roman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"/>
          <w:szCs w:val="2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0"/>
        <w:gridCol w:w="851"/>
        <w:gridCol w:w="3684"/>
      </w:tblGrid>
      <w:tr>
        <w:trPr>
          <w:trHeight w:val="1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8</w:t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D0D0D"/>
                <w:sz w:val="24"/>
                <w:szCs w:val="28"/>
                <w:lang w:eastAsia="ru-RU"/>
              </w:rPr>
              <w:t>Итого по государственной программе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1134" w:top="1701" w:footer="0" w:bottom="567" w:gutter="0"/>
          <w:pgNumType w:start="1" w:fmt="decimal"/>
          <w:formProt w:val="false"/>
          <w:titlePg/>
          <w:textDirection w:val="lrTb"/>
          <w:docGrid w:type="default" w:linePitch="381" w:charSpace="8192"/>
        </w:sectPr>
      </w:pP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ПРИЛОЖЕНИЕ № 8</w:t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 xml:space="preserve">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 Ульяновской области </w:t>
      </w:r>
      <w:r>
        <w:rPr>
          <w:rFonts w:eastAsia="Calibri" w:cs="Times New Roman" w:ascii="Times New Roman" w:hAnsi="Times New Roman"/>
          <w:b/>
          <w:color w:val="0D0D0D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color w:val="0D0D0D"/>
          <w:sz w:val="28"/>
          <w:szCs w:val="28"/>
          <w:lang w:eastAsia="ru-RU"/>
        </w:rPr>
        <w:t>____________________________________________________________</w:t>
      </w:r>
      <w:r>
        <w:rPr>
          <w:rFonts w:eastAsia="Calibri" w:cs="Times New Roman" w:ascii="Times New Roman" w:hAnsi="Times New Roman"/>
          <w:b/>
          <w:color w:val="0D0D0D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D0D0D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color w:val="0D0D0D"/>
          <w:sz w:val="20"/>
          <w:szCs w:val="20"/>
          <w:lang w:eastAsia="ru-RU"/>
        </w:rPr>
        <w:t>(наименование муниципальной программы)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2"/>
        <w:gridCol w:w="1558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rHeight w:val="540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Наименование подпрограммы муниципальной программы (структурного элемента), объекта капитального строительства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Государственный заказчик, соисполнитель муниципальной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Сроки </w:t>
              <w:br/>
              <w:t xml:space="preserve">создания (приобретения), реконструкции или капитального ремонта объекта </w:t>
              <w:br/>
              <w:t xml:space="preserve">капитального строительства, </w:t>
              <w:br/>
              <w:t xml:space="preserve">годы </w:t>
              <w:br/>
              <w:t>(начало и окончание)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Место нахождения объекта капитального строительства (земельного участка, </w:t>
              <w:br/>
              <w:t xml:space="preserve">на котором </w:t>
              <w:br/>
              <w:t>он расположен (будет расположен)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Проектная мощность объекта капитального строительства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Общая стоимость  создания, реконструкции или капитального ремонта объекта капитального строительства или цена, </w:t>
              <w:br/>
              <w:t xml:space="preserve">по которой он приобретается </w:t>
              <w:br/>
              <w:t>(в ценах соответствующих лет),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тыс. руб.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Объёмы и источники финансового обеспечения создания, реконструкции или капитального ремонта объекта капитального строительства, тыс. руб.</w:t>
            </w:r>
          </w:p>
        </w:tc>
      </w:tr>
      <w:tr>
        <w:trPr>
          <w:trHeight w:val="540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37" w:right="-10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3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8"/>
                <w:lang w:eastAsia="ru-RU"/>
              </w:rPr>
              <w:t>в т.ч. средства  внебюджетных источников</w:t>
            </w:r>
          </w:p>
        </w:tc>
      </w:tr>
    </w:tbl>
    <w:p>
      <w:pPr>
        <w:pStyle w:val="Normal"/>
        <w:spacing w:lineRule="auto" w:line="9" w:before="0" w:after="0"/>
        <w:rPr>
          <w:rFonts w:ascii="Times New Roman" w:hAnsi="Times New Roman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"/>
          <w:szCs w:val="2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2"/>
        <w:gridCol w:w="1558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blHeader w:val="true"/>
          <w:trHeight w:val="17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Муниципальная программа «Наименование»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 - 20_</w:t>
            </w: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Style18"/>
                <w:rFonts w:eastAsia="Calibri" w:ascii="Times New Roman" w:hAnsi="Times New Roman"/>
                <w:color w:val="0D0D0D"/>
                <w:sz w:val="24"/>
                <w:szCs w:val="24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Объект 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33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Объект 2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sectPr>
          <w:headerReference w:type="default" r:id="rId18"/>
          <w:footerReference w:type="default" r:id="rId19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_______________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43" w:name="P1452"/>
      <w:bookmarkEnd w:id="43"/>
      <w:r>
        <w:rPr>
          <w:sz w:val="28"/>
          <w:szCs w:val="28"/>
        </w:rPr>
        <w:t>ПАСПОРТ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«Наименование»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926"/>
        <w:gridCol w:w="7144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0"/>
          <w:footerReference w:type="default" r:id="rId21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Перечень показателей комплекса процессных мероприятий</w:t>
      </w:r>
    </w:p>
    <w:tbl>
      <w:tblPr>
        <w:tblW w:w="143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8"/>
        <w:gridCol w:w="2268"/>
        <w:gridCol w:w="1072"/>
        <w:gridCol w:w="1970"/>
        <w:gridCol w:w="1552"/>
        <w:gridCol w:w="1193"/>
        <w:gridCol w:w="745"/>
        <w:gridCol w:w="746"/>
        <w:gridCol w:w="894"/>
        <w:gridCol w:w="895"/>
        <w:gridCol w:w="2388"/>
      </w:tblGrid>
      <w:tr>
        <w:trPr>
          <w:trHeight w:val="607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2119">
              <w:r>
                <w:rPr/>
                <w:t>&lt;1&gt;</w:t>
              </w:r>
            </w:hyperlink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2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показателя </w:t>
            </w:r>
            <w:hyperlink w:anchor="P2120">
              <w:r>
                <w:rPr/>
                <w:t>&lt;2&gt;</w:t>
              </w:r>
            </w:hyperlink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1427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3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3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/>
        <w:t>3. План достижения значений показателей комплекса процессных мероприятий в ____ году</w:t>
      </w:r>
    </w:p>
    <w:p>
      <w:pPr>
        <w:pStyle w:val="ConsPlusNormal"/>
        <w:jc w:val="center"/>
        <w:rPr>
          <w:sz w:val="28"/>
          <w:szCs w:val="28"/>
        </w:rPr>
      </w:pPr>
      <w:r>
        <w:rPr/>
      </w:r>
    </w:p>
    <w:tbl>
      <w:tblPr>
        <w:tblW w:w="1474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16"/>
        <w:gridCol w:w="1160"/>
        <w:gridCol w:w="1161"/>
        <w:gridCol w:w="1526"/>
        <w:gridCol w:w="2196"/>
        <w:gridCol w:w="2280"/>
        <w:gridCol w:w="2238"/>
        <w:gridCol w:w="1892"/>
        <w:gridCol w:w="1526"/>
        <w:gridCol w:w="143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Наименование показателя </w:t>
            </w:r>
            <w:hyperlink w:anchor="P2121">
              <w:r>
                <w:rPr/>
                <w:t>&lt;3&gt;</w:t>
              </w:r>
            </w:hyperlink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2122">
              <w:r>
                <w:rPr/>
                <w:t>&lt;4&gt;</w:t>
              </w:r>
            </w:hyperlink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3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Плановые значения показателя по месяцам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 кв.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 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 кв.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 кв.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 + 1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 + n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3 «Наименование»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24"/>
          <w:footerReference w:type="default" r:id="rId25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Перечень мероприятий (результатов)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4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85"/>
        <w:gridCol w:w="4282"/>
        <w:gridCol w:w="1658"/>
        <w:gridCol w:w="1357"/>
        <w:gridCol w:w="1809"/>
        <w:gridCol w:w="1567"/>
        <w:gridCol w:w="753"/>
        <w:gridCol w:w="754"/>
        <w:gridCol w:w="751"/>
        <w:gridCol w:w="752"/>
      </w:tblGrid>
      <w:tr>
        <w:trPr>
          <w:trHeight w:val="838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Тип мероприятия (результата)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мероприятия (результата) (по </w:t>
            </w:r>
            <w:hyperlink r:id="rId26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мероприятия (результата) </w:t>
            </w:r>
            <w:hyperlink w:anchor="P2123">
              <w:r>
                <w:rPr/>
                <w:t>&lt;5&gt;</w:t>
              </w:r>
            </w:hyperlink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>
          <w:trHeight w:val="24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3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Описательная часть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3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Описательная часть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Финансовое обеспечение реализации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48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3"/>
        <w:gridCol w:w="2390"/>
        <w:gridCol w:w="2239"/>
        <w:gridCol w:w="3869"/>
        <w:gridCol w:w="1790"/>
        <w:gridCol w:w="906"/>
        <w:gridCol w:w="895"/>
        <w:gridCol w:w="895"/>
        <w:gridCol w:w="89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Ответственные исполнители мероприятия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межбюджетные трансферты, предоставляемые из областного бюджета (далее - бюджетные ассигнования областного бюджета)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1.n.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6. План реализации комплекса процессных мероприятий</w:t>
      </w:r>
    </w:p>
    <w:tbl>
      <w:tblPr>
        <w:tblW w:w="1442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1"/>
        <w:gridCol w:w="3005"/>
        <w:gridCol w:w="2706"/>
        <w:gridCol w:w="3158"/>
        <w:gridCol w:w="2477"/>
        <w:gridCol w:w="2478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Дата наступления контрольной точки </w:t>
            </w:r>
            <w:hyperlink w:anchor="P2124">
              <w:r>
                <w:rPr/>
                <w:t>&lt;6&gt;</w:t>
              </w:r>
            </w:hyperlink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Документ </w:t>
            </w:r>
            <w:hyperlink w:anchor="P2125">
              <w:r>
                <w:rPr/>
                <w:t>&lt;7&gt;</w:t>
              </w:r>
            </w:hyperlink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Информационная система (источник данных) </w:t>
            </w:r>
            <w:hyperlink w:anchor="P2126">
              <w:r>
                <w:rPr/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</w:tr>
      <w:tr>
        <w:trPr>
          <w:trHeight w:val="252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 Методика расчёта значений показателей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7"/>
        <w:gridCol w:w="3530"/>
        <w:gridCol w:w="2679"/>
        <w:gridCol w:w="1703"/>
        <w:gridCol w:w="1947"/>
        <w:gridCol w:w="1706"/>
        <w:gridCol w:w="2433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7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показателя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6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9"/>
        <w:gridCol w:w="3541"/>
        <w:gridCol w:w="2687"/>
        <w:gridCol w:w="1708"/>
        <w:gridCol w:w="1953"/>
        <w:gridCol w:w="1710"/>
        <w:gridCol w:w="2442"/>
      </w:tblGrid>
      <w:tr>
        <w:trPr>
          <w:trHeight w:val="139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мероприятия (результата)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мероприятия (результата)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мероприятия (результата) (по </w:t>
            </w:r>
            <w:hyperlink r:id="rId28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мероприятия (результата)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29"/>
          <w:footerReference w:type="default" r:id="rId30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</w:pP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4" w:name="P2119"/>
      <w:bookmarkEnd w:id="44"/>
      <w:r>
        <w:rPr/>
        <w:t>&lt;1&gt; Указывается соответствие показателя, декомпозированного для муниципальной программы Ульяновской области,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5" w:name="P2120"/>
      <w:bookmarkEnd w:id="45"/>
      <w:r>
        <w:rPr/>
        <w:t>&lt;2&gt;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6" w:name="P2121"/>
      <w:bookmarkEnd w:id="46"/>
      <w:r>
        <w:rPr/>
        <w:t>&lt;3&gt; Приводятся показатели уровня комплекса процессных мероприятий.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7" w:name="P2122"/>
      <w:bookmarkEnd w:id="47"/>
      <w:r>
        <w:rPr/>
        <w:t>&lt;4&gt; Указывается соответствие показателя, декомпозированного для муниципальной программы,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8" w:name="P2123"/>
      <w:bookmarkEnd w:id="48"/>
      <w:r>
        <w:rPr/>
        <w:t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9" w:name="P2124"/>
      <w:bookmarkEnd w:id="49"/>
      <w:r>
        <w:rPr/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50" w:name="P2125"/>
      <w:bookmarkEnd w:id="50"/>
      <w:r>
        <w:rPr/>
        <w:t>&lt;7&gt; Указывается вид документа, подтверждающий факт достижения контрольной точки.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51" w:name="P2126"/>
      <w:bookmarkEnd w:id="51"/>
      <w:r>
        <w:rPr/>
        <w:t>&lt;8&gt; Указывается информационная система, содержащая информацию о мероприятиях (результатах) (при наличии).</w:t>
      </w:r>
    </w:p>
    <w:p>
      <w:pPr>
        <w:sectPr>
          <w:headerReference w:type="default" r:id="rId31"/>
          <w:footerReference w:type="default" r:id="rId32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52" w:name="P2138"/>
      <w:bookmarkEnd w:id="52"/>
      <w:r>
        <w:rPr>
          <w:sz w:val="28"/>
          <w:szCs w:val="28"/>
        </w:rPr>
        <w:t>МЕТОДИКА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расчёта значений показателей муниципальной программы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4"/>
        <w:gridCol w:w="1720"/>
        <w:gridCol w:w="1482"/>
        <w:gridCol w:w="1424"/>
        <w:gridCol w:w="1364"/>
        <w:gridCol w:w="1317"/>
        <w:gridCol w:w="1591"/>
      </w:tblGrid>
      <w:tr>
        <w:trPr>
          <w:trHeight w:val="128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33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показателя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показателя</w:t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headerReference w:type="default" r:id="rId34"/>
      <w:footerReference w:type="default" r:id="rId35"/>
      <w:footnotePr>
        <w:numFmt w:val="decimal"/>
        <w:numRestart w:val="eachSect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>
        <w:rFonts w:ascii="Times New Roman" w:hAnsi="Times New Roman" w:cs="Times New Roman"/>
        <w:sz w:val="36"/>
        <w:szCs w:val="36"/>
      </w:rPr>
    </w:pPr>
    <w:r>
      <w:rPr>
        <w:rFonts w:cs="Times New Roman" w:ascii="Times New Roman" w:hAnsi="Times New Roman"/>
        <w:sz w:val="36"/>
        <w:szCs w:val="36"/>
      </w:rPr>
      <w:t>0462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Налоговые, тарифные и иные инструменты муниципального регулирования.</w:t>
      </w:r>
    </w:p>
  </w:footnote>
  <w:footnote w:id="3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налоговая льгота, предоставление гарантий и т.п.</w:t>
      </w:r>
    </w:p>
  </w:footnote>
  <w:footnote w:id="4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объём недополученных доходов областного бюджета Ульяновской области, бюджетов муниципальных образований Ульяновской области, увеличение объёма расходных обязательств Ульяновской области.</w:t>
      </w:r>
    </w:p>
  </w:footnote>
  <w:footnote w:id="5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Для целей обоснования применения налоговых, тарифных и иных инструментов государственного регулирования следует указать сроки, в течение которых они будут применяться, а также результаты прогнозной оценки объёма недополученных либо дополнительно полученных доходов в результате использования указанных инструментов в разрезе бюджетов бюджетной системы Российской Федерации.</w:t>
      </w:r>
    </w:p>
    <w:p>
      <w:pPr>
        <w:pStyle w:val="Style32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</w:t>
      </w:r>
    </w:p>
  </w:footnote>
  <w:footnote w:id="6">
    <w:p>
      <w:pPr>
        <w:pStyle w:val="Style32"/>
        <w:widowControl w:val="false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Годы реализации муниципальной программы.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94827098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23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03643837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8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8667019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14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91515655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50393288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27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5620791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33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34434135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21684419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4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03c7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ff58a6"/>
    <w:rPr/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ff58a6"/>
    <w:rPr/>
  </w:style>
  <w:style w:type="character" w:styleId="Style17" w:customStyle="1">
    <w:name w:val="Текст сноски Знак"/>
    <w:basedOn w:val="DefaultParagraphFont"/>
    <w:link w:val="a8"/>
    <w:uiPriority w:val="99"/>
    <w:semiHidden/>
    <w:qFormat/>
    <w:rsid w:val="00246dfd"/>
    <w:rPr>
      <w:sz w:val="20"/>
      <w:szCs w:val="20"/>
    </w:rPr>
  </w:style>
  <w:style w:type="character" w:styleId="Style18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246dfd"/>
    <w:rPr>
      <w:rFonts w:cs="Times New Roman"/>
      <w:vertAlign w:val="superscript"/>
    </w:rPr>
  </w:style>
  <w:style w:type="character" w:styleId="Style19" w:customStyle="1">
    <w:name w:val="Символ сноски"/>
    <w:qFormat/>
    <w:rPr/>
  </w:style>
  <w:style w:type="character" w:styleId="Style20" w:customStyle="1">
    <w:name w:val="Привязка концевой сноски"/>
    <w:rPr>
      <w:vertAlign w:val="superscript"/>
    </w:rPr>
  </w:style>
  <w:style w:type="character" w:styleId="Style21" w:customStyle="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147df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ru-RU"/>
    </w:rPr>
  </w:style>
  <w:style w:type="paragraph" w:styleId="ConsPlusNonformat" w:customStyle="1">
    <w:name w:val="ConsPlusNonformat"/>
    <w:qFormat/>
    <w:rsid w:val="00603c7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3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5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852c4"/>
    <w:pPr>
      <w:spacing w:before="0" w:after="160"/>
      <w:ind w:left="720" w:hanging="0"/>
      <w:contextualSpacing/>
    </w:pPr>
    <w:rPr/>
  </w:style>
  <w:style w:type="paragraph" w:styleId="Style32">
    <w:name w:val="Footnote Text"/>
    <w:basedOn w:val="Normal"/>
    <w:link w:val="a7"/>
    <w:uiPriority w:val="99"/>
    <w:semiHidden/>
    <w:unhideWhenUsed/>
    <w:rsid w:val="00246df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1621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header" Target="header12.xml"/><Relationship Id="rId32" Type="http://schemas.openxmlformats.org/officeDocument/2006/relationships/footer" Target="footer12.xml"/><Relationship Id="rId33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eader" Target="header13.xml"/><Relationship Id="rId35" Type="http://schemas.openxmlformats.org/officeDocument/2006/relationships/footer" Target="footer13.xml"/><Relationship Id="rId36" Type="http://schemas.openxmlformats.org/officeDocument/2006/relationships/footnotes" Target="footnotes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<Relationship Id="rId4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D9F7-64E8-4E58-8A0D-F1CCF4C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LibreOffice/7.0.6.2$Linux_X86_64 LibreOffice_project/00$Build-2</Application>
  <AppVersion>15.0000</AppVersion>
  <Pages>50</Pages>
  <Words>7556</Words>
  <Characters>60350</Characters>
  <CharactersWithSpaces>67144</CharactersWithSpaces>
  <Paragraphs>924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2024-06-13T06:46:00Z</dcterms:created>
  <dc:creator>U101</dc:creator>
  <dc:description/>
  <dc:language>ru-RU</dc:language>
  <cp:lastModifiedBy/>
  <cp:lastPrinted>2024-08-23T07:29:00Z</cp:lastPrinted>
  <dcterms:modified xsi:type="dcterms:W3CDTF">2024-09-04T09:56:57Z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