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bidi w:val="0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bidi w:val="0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bidi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bidi w:val="0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 xml:space="preserve">    </w:t>
      </w:r>
      <w:r>
        <w:rPr>
          <w:rFonts w:ascii="PT Astra Serif" w:hAnsi="PT Astra Serif"/>
          <w:b/>
          <w:bCs/>
          <w:sz w:val="40"/>
          <w:szCs w:val="40"/>
        </w:rPr>
        <w:t xml:space="preserve">П О С Т А Н О В Л Е Н И Е </w:t>
      </w:r>
    </w:p>
    <w:p>
      <w:pPr>
        <w:pStyle w:val="Normal"/>
        <w:bidi w:val="0"/>
        <w:spacing w:lineRule="auto" w:line="240" w:before="0" w:after="0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21 августа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2024 г.                                                                                      </w:t>
      </w:r>
      <w:r>
        <w:rPr>
          <w:rFonts w:ascii="PT Astra Serif" w:hAnsi="PT Astra Serif"/>
          <w:b w:val="false"/>
          <w:bCs w:val="false"/>
          <w:sz w:val="26"/>
          <w:szCs w:val="26"/>
          <w:u w:val="none"/>
        </w:rPr>
        <w:t xml:space="preserve"> №</w:t>
      </w:r>
      <w:r>
        <w:rPr>
          <w:rFonts w:ascii="PT Astra Serif" w:hAnsi="PT Astra Serif"/>
          <w:b w:val="false"/>
          <w:bCs w:val="false"/>
          <w:sz w:val="26"/>
          <w:szCs w:val="26"/>
          <w:u w:val="none"/>
        </w:rPr>
        <w:t>431</w:t>
      </w:r>
    </w:p>
    <w:p>
      <w:pPr>
        <w:pStyle w:val="Normal"/>
        <w:bidi w:val="0"/>
        <w:spacing w:lineRule="auto" w:line="240" w:before="0" w:after="0"/>
        <w:jc w:val="start"/>
        <w:rPr>
          <w:rFonts w:ascii="PT Astra Serif" w:hAnsi="PT Astra Serif"/>
          <w:b w:val="false"/>
          <w:bCs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                              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                                                                                                                    </w:t>
      </w:r>
      <w:r>
        <w:rPr>
          <w:rFonts w:ascii="PT Astra Serif" w:hAnsi="PT Astra Serif"/>
          <w:b w:val="false"/>
          <w:bCs w:val="false"/>
          <w:sz w:val="26"/>
          <w:szCs w:val="26"/>
          <w:u w:val="none"/>
        </w:rPr>
        <w:t>Экз. №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single"/>
        </w:rPr>
        <w:t xml:space="preserve">         </w:t>
      </w:r>
    </w:p>
    <w:p>
      <w:pPr>
        <w:pStyle w:val="Normal"/>
        <w:bidi w:val="0"/>
        <w:jc w:val="center"/>
        <w:rPr>
          <w:rFonts w:ascii="PT Astra Serif" w:hAnsi="PT Astra Serif"/>
          <w:b w:val="false"/>
          <w:bCs w:val="false"/>
          <w:sz w:val="28"/>
          <w:szCs w:val="28"/>
          <w:u w:val="singl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rFonts w:ascii="PT Astra Serif" w:hAnsi="PT Astra Serif"/>
          <w:b/>
          <w:bCs/>
          <w:sz w:val="26"/>
          <w:szCs w:val="26"/>
          <w:u w:val="none"/>
        </w:rPr>
      </w:pPr>
      <w:r>
        <w:rPr>
          <w:rFonts w:ascii="PT Astra Serif" w:hAnsi="PT Astra Serif"/>
          <w:b w:val="false"/>
          <w:bCs w:val="false"/>
          <w:sz w:val="26"/>
          <w:szCs w:val="26"/>
          <w:u w:val="none"/>
        </w:rPr>
        <w:t xml:space="preserve">  </w:t>
      </w:r>
      <w:r>
        <w:rPr>
          <w:rFonts w:ascii="PT Astra Serif" w:hAnsi="PT Astra Serif"/>
          <w:b w:val="false"/>
          <w:bCs w:val="false"/>
          <w:sz w:val="24"/>
          <w:szCs w:val="24"/>
          <w:u w:val="none"/>
        </w:rPr>
        <w:t>р.п. Тереньга</w:t>
      </w:r>
    </w:p>
    <w:p>
      <w:pPr>
        <w:pStyle w:val="Normal"/>
        <w:bidi w:val="0"/>
        <w:jc w:val="center"/>
        <w:rPr>
          <w:rFonts w:ascii="PT Astra Serif" w:hAnsi="PT Astra Serif"/>
          <w:b w:val="false"/>
          <w:bCs w:val="false"/>
          <w:sz w:val="26"/>
          <w:szCs w:val="26"/>
          <w:u w:val="none"/>
        </w:rPr>
      </w:pPr>
      <w:r>
        <w:rPr>
          <w:rFonts w:ascii="PT Astra Serif" w:hAnsi="PT Astra Serif"/>
          <w:b w:val="false"/>
          <w:bCs w:val="false"/>
          <w:sz w:val="26"/>
          <w:szCs w:val="26"/>
          <w:u w:val="none"/>
        </w:rPr>
      </w:r>
    </w:p>
    <w:p>
      <w:pPr>
        <w:pStyle w:val="Normal"/>
        <w:bidi w:val="0"/>
        <w:jc w:val="center"/>
        <w:rPr>
          <w:rFonts w:ascii="PT Astra Serif" w:hAnsi="PT Astra Serif"/>
          <w:b w:val="false"/>
          <w:bCs w:val="false"/>
          <w:sz w:val="26"/>
          <w:szCs w:val="26"/>
          <w:u w:val="none"/>
        </w:rPr>
      </w:pPr>
      <w:r>
        <w:rPr>
          <w:rFonts w:ascii="PT Astra Serif" w:hAnsi="PT Astra Serif"/>
          <w:b w:val="false"/>
          <w:bCs w:val="false"/>
          <w:sz w:val="26"/>
          <w:szCs w:val="26"/>
          <w:u w:val="none"/>
        </w:rPr>
      </w:r>
    </w:p>
    <w:p>
      <w:pPr>
        <w:pStyle w:val="Normal"/>
        <w:bidi w:val="0"/>
        <w:jc w:val="center"/>
        <w:rPr>
          <w:rFonts w:ascii="PT Astra Serif" w:hAnsi="PT Astra Serif"/>
          <w:b w:val="false"/>
          <w:bCs w:val="false"/>
          <w:sz w:val="26"/>
          <w:szCs w:val="26"/>
          <w:u w:val="none"/>
        </w:rPr>
      </w:pPr>
      <w:r>
        <w:rPr>
          <w:rFonts w:ascii="PT Astra Serif" w:hAnsi="PT Astra Serif"/>
          <w:b w:val="false"/>
          <w:bCs w:val="false"/>
          <w:sz w:val="26"/>
          <w:szCs w:val="26"/>
          <w:u w:val="none"/>
        </w:rPr>
      </w:r>
    </w:p>
    <w:p>
      <w:pPr>
        <w:pStyle w:val="Normal"/>
        <w:bidi w:val="0"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 xml:space="preserve">     </w:t>
      </w:r>
      <w:r>
        <w:rPr>
          <w:rFonts w:ascii="PT Astra Serif" w:hAnsi="PT Astra Serif"/>
          <w:b/>
          <w:bCs/>
          <w:sz w:val="28"/>
          <w:szCs w:val="28"/>
          <w:u w:val="none"/>
        </w:rPr>
        <w:t>Об организации торговли в формате «ярмарка выходного дня» на   территории муниципального образования</w:t>
      </w:r>
    </w:p>
    <w:p>
      <w:pPr>
        <w:pStyle w:val="Normal"/>
        <w:bidi w:val="0"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 xml:space="preserve">   </w:t>
      </w:r>
      <w:r>
        <w:rPr>
          <w:rFonts w:ascii="PT Astra Serif" w:hAnsi="PT Astra Serif"/>
          <w:b/>
          <w:bCs/>
          <w:sz w:val="28"/>
          <w:szCs w:val="28"/>
          <w:u w:val="none"/>
        </w:rPr>
        <w:t>«Тереньгульское городское поселение»</w:t>
      </w:r>
    </w:p>
    <w:p>
      <w:pPr>
        <w:pStyle w:val="Normal"/>
        <w:bidi w:val="0"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</w:r>
    </w:p>
    <w:p>
      <w:pPr>
        <w:pStyle w:val="Normal"/>
        <w:bidi w:val="0"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ab/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организации местного самоуправления в Российской Федерации», руководствуясь Уставом муниципального образования «Тереньгульское городское поселение», в целях обеспечения населения района расширенным ассортиментом продовольственной продукци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, Администрация муниципального образования «Тереньгульский район» п о с т а н о в л я е т: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ab/>
        <w:t>1. Организовать на территории муниципального образования «Тереньгульское городское поселение» (р.п. Тереньга, ул. Фадеева: нечетная сторона с № 1-35, кроме территории перед магазином «Мастер»; четная сторона с № 2-6, с 14 до конца улицы Фадеева, площадка восточне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е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дома №22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по ул. 50-летия Победы в 20 метрах) проведение торговых ярмарок про средам с 07.00 часов до 15.00 часов в формате «ярмарка выходного дня».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ab/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1.1. Пред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о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ставле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ние торговых мест на «ярмарке выходного дня» осуществляется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субъектам предпринимательской деятельности на безвозмездной основе. За оказание услуги, связанной с обеспечением торговли (уборка территории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после проведения «ярмарки выходного дня»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)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взимается плата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Муниципальн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ым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бюджетн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ым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учреждение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«Благоустройство»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муниципального образования «Тереньгульского городского поселения» Тереньгульского района Ульяновской области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согласно постановлению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администрации муниципального образования «Тереньгульский район» №101 от 23 марта 2021 г. «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Об утверждении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п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оложения о порядке предоставления платных услуг муниципальным бюджетным учреждением «Благоустройство» муниципального образования «Тереньгульское городское поселение» Тереньгульского района Ульяновской области».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ab/>
        <w:t>2. Рекомендовать: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ab/>
        <w:t xml:space="preserve">2.1.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Муниципально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бюджетно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учреждени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ю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«Благоустройство»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муниципального образования «Тереньгульского городского поселения» Тереньгульского района Ульяновской области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обеспечить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организацию торговых ярмарок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в соответствии с Положением о порядке организации деятельности ярмарок на территории Ульяновской области, утвержденным Постановлением Правительства Ульяновской области от 25.05.2007 №188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ab/>
        <w:t>2.2. Управлени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ю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экономического и стратегического развития администрации муниципального образования «Тереньгульский район» активизировать работу по привлечению к участию в торговых ярмарках производителей пищевой, сельскохозяйственной продукции Ульяновской области.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ab/>
        <w:t xml:space="preserve">2.3.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Областному государственному бюджетному учреждению «Инспекци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я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о ветеринарии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и безопасности продовольствия»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о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бособленному предприятию «Тереньгульской районной ветеринарной станции»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(по согласованию) осуществлять контроль за работой торговых ярмарок по соблюдению правил торговли, санитарного и ветеринарного законодательства. 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ab/>
        <w:t xml:space="preserve">2.4. Управлению строительства, архитектуры и дорожной деятельности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>муниципального образования «Тереньгульского городского поселения» Тереньгульского района Ульяновской области,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</w:rPr>
        <w:t xml:space="preserve"> разработать и согласовать в установленном порядке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FFFFFF" w:val="clear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с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отделением Государственной инспекции безопасности дорожного движения Муниципального отдела Министерства внутренних дел России «Сенгилеевский»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(по согласованию)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схемы организации дорожного движения на период проведения торговых ярмарок, на которых отобразить установку ограждений, дорожных знаков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и маршруты отвода автотранспорта. 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ab/>
        <w:t>2.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5.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Муниципально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бюджетно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учреждени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ю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«Благоустройство»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муниципального образования «Тереньгульского городского поселения» Тереньгульского района Ульяновской области,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установить до начала проведения торговых ярмарок технические средства организации дорожного движения в соответствии с согласованными схемами, обеспечить их демонтаж в течение одного часа после проведения торговых ярмарок.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ab/>
        <w:t>2.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6.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Муниципально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бюджетно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учреждени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ю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«Благоустройство»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муниципального образования «Тереньгульского городского поселения» Тереньгульского района Ульяновской области,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д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овести через средства массовой информации до населения района информацию о месте и времени введения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ограничения в движении транспортных средств и изменениях в маршрутах движения транспорта.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ab/>
        <w:t>2.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7.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Межмуниципальному отделу Министерства внутренних дел России «Сенгилеевский»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(по согласованию)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оказать содействие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Муниципально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бюджетно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учреждени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ю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«Благоустройство»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муниципального образования «Тереньгульского городского поселения» Тереньгульского района Ульяновской области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в обеспечении безопасности граждан и общественного порядка, а также в ограничении движения автотранспорта в местах проведениях торговых ярмарок.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ab/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3. </w:t>
      </w:r>
      <w:r>
        <w:rPr>
          <w:rFonts w:cs="PT Astra Serif;Times New Roman" w:ascii="PT Astra Serif;Times New Roman" w:hAnsi="PT Astra Serif;Times New Roman"/>
          <w:b w:val="false"/>
          <w:bCs w:val="false"/>
          <w:sz w:val="28"/>
          <w:szCs w:val="28"/>
          <w:u w:val="none"/>
          <w:shd w:fill="auto" w:val="clear"/>
        </w:rPr>
        <w:t>Признать утратившими силу постановление Администрации муниципального образования  Тереньгульского района Ульяновской области от 23.03.2016 г. №116 «Об организации торговли в формате «ярмарка выходного дня» на территории муниципального образования «Тереньгульское городское поселение».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ab/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4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. Настоящее постановление вступает в силу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на следующий день после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 его опубликования в информационном бюллетене «Вестник района».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ab/>
        <w:t>5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 xml:space="preserve">. 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</w:t>
      </w: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Магадеева Сергея Ириковича.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Глава администрации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муниципального образования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u w:val="none"/>
          <w:shd w:fill="auto" w:val="clear"/>
        </w:rPr>
        <w:t>«Тереньгульский район»                                                                       Г.А.Шерстнев</w:t>
      </w:r>
    </w:p>
    <w:sectPr>
      <w:footerReference w:type="default" r:id="rId2"/>
      <w:footerReference w:type="first" r:id="rId3"/>
      <w:type w:val="nextPage"/>
      <w:pgSz w:w="11906" w:h="16838"/>
      <w:pgMar w:left="1134" w:right="1134" w:gutter="0" w:header="0" w:top="1134" w:footer="1134" w:bottom="1831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  <w:font w:name="PT Astra Serif">
    <w:altName w:val="Times New Roman"/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sz w:val="36"/>
        <w:szCs w:val="36"/>
      </w:rPr>
    </w:pPr>
    <w:r>
      <w:rPr>
        <w:sz w:val="36"/>
        <w:szCs w:val="36"/>
      </w:rPr>
      <w:t>0458</w:t>
    </w:r>
  </w:p>
</w:ftr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1858</TotalTime>
  <Application>LibreOffice/7.6.6.3$Linux_X86_64 LibreOffice_project/60$Build-3</Application>
  <AppVersion>15.0000</AppVersion>
  <Pages>3</Pages>
  <Words>605</Words>
  <Characters>4855</Characters>
  <CharactersWithSpaces>5797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2024-07-10T10:08:05Z</dcterms:created>
  <dc:creator/>
  <dc:description/>
  <dc:language>ru-RU</dc:language>
  <cp:lastModifiedBy/>
  <cp:lastPrinted>2024-08-21T08:32:53Z</cp:lastPrinted>
  <dcterms:modified xsi:type="dcterms:W3CDTF">2024-09-05T15:28:20Z</dcterms:modified>
  <cp:revision>16</cp:revision>
  <dc:subject/>
  <dc:title/>
</cp:coreProperties>
</file>