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footer8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ab/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Cs w:val="28"/>
        </w:rPr>
        <w:t>«</w:t>
      </w:r>
      <w:r>
        <w:rPr>
          <w:rStyle w:val="Style10"/>
          <w:rFonts w:cs="PT Astra Serif" w:ascii="PT Astra Serif" w:hAnsi="PT Astra Serif"/>
          <w:color w:val="000000"/>
          <w:szCs w:val="28"/>
        </w:rPr>
        <w:t>16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»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августа </w:t>
      </w:r>
      <w:r>
        <w:rPr>
          <w:rStyle w:val="Style10"/>
          <w:rFonts w:cs="PT Astra Serif" w:ascii="PT Astra Serif" w:hAnsi="PT Astra Serif"/>
          <w:color w:val="000000"/>
          <w:szCs w:val="28"/>
        </w:rPr>
        <w:t>202</w:t>
      </w:r>
      <w:r>
        <w:rPr>
          <w:rStyle w:val="Style10"/>
          <w:rFonts w:cs="PT Astra Serif" w:ascii="PT Astra Serif" w:hAnsi="PT Astra Serif"/>
          <w:color w:val="000000"/>
          <w:szCs w:val="28"/>
        </w:rPr>
        <w:t>4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 г.</w:t>
      </w: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 xml:space="preserve">              </w:t>
        <w:tab/>
        <w:tab/>
        <w:t xml:space="preserve">                              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Style w:val="Style10"/>
          <w:rFonts w:cs="PT Astra Serif" w:ascii="PT Astra Serif" w:hAnsi="PT Astra Serif"/>
          <w:color w:val="000000"/>
          <w:szCs w:val="28"/>
        </w:rPr>
        <w:t>412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    </w:t>
        <w:tab/>
        <w:t xml:space="preserve">   </w:t>
      </w:r>
      <w:r>
        <w:rPr>
          <w:rStyle w:val="Style10"/>
          <w:rFonts w:cs="PT Astra Serif" w:ascii="PT Astra Serif" w:hAnsi="PT Astra Serif"/>
          <w:color w:val="000000"/>
          <w:szCs w:val="28"/>
        </w:rPr>
        <w:t>Экз. №</w:t>
      </w:r>
      <w:r>
        <w:rPr>
          <w:rStyle w:val="Style10"/>
          <w:rFonts w:cs="PT Astra Serif" w:ascii="PT Astra Serif" w:hAnsi="PT Astra Serif"/>
          <w:color w:val="000000"/>
          <w:sz w:val="24"/>
          <w:szCs w:val="24"/>
        </w:rPr>
        <w:t xml:space="preserve"> _____</w:t>
      </w:r>
    </w:p>
    <w:p>
      <w:pPr>
        <w:pStyle w:val="Normal"/>
        <w:jc w:val="center"/>
        <w:rPr>
          <w:rStyle w:val="Style10"/>
          <w:rFonts w:ascii="PT Astra Serif" w:hAnsi="PT Astra Serif" w:cs="PT Astra Serif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750" w:type="dxa"/>
        <w:jc w:val="start"/>
        <w:tblInd w:w="-44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750"/>
      </w:tblGrid>
      <w:tr>
        <w:trPr>
          <w:trHeight w:val="1103" w:hRule="atLeast"/>
        </w:trPr>
        <w:tc>
          <w:tcPr>
            <w:tcW w:w="9750" w:type="dxa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20.12.2019 № 593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720" w:start="0" w:end="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both"/>
        <w:rPr/>
      </w:pPr>
      <w:r>
        <w:rPr>
          <w:rStyle w:val="Style10"/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Ульяновской области от 20.12.2019 № 593 «Об утверждении муниципальной программы по укреплению общественного здоровья «Здоровый муниципалитет на 2020-2024 годы» муниципального образования «Тереньгульский район» Ульяновской области»</w:t>
      </w:r>
      <w:r>
        <w:rPr>
          <w:rStyle w:val="Style10"/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следующие изменения: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 xml:space="preserve">1.1.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паспорта 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рограммы изложить в следующей редакции: «Объем финансирования муниципальной программы за счет бюджетных ассигнований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38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,6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тыс.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рублей, в том числе по годам: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рублей;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45,865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0"/>
        <w:tabs>
          <w:tab w:val="clear" w:pos="720"/>
          <w:tab w:val="left" w:pos="4095" w:leader="none"/>
        </w:tabs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3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8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5,36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1.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Раздел 5 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Финансирование муниципальной программы осуществляется за счет средств бюджета муниципального образования «Тереньгульский район». 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Общий объем финансирования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38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рублей, в том числе по годам: 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color w:val="000000"/>
          <w:sz w:val="36"/>
          <w:szCs w:val="36"/>
          <w:shd w:fill="FFFFFF" w:val="clear"/>
        </w:rPr>
        <w:t>0437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45,865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тыс. рублей;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3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8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 </w:t>
      </w:r>
    </w:p>
    <w:p>
      <w:pPr>
        <w:pStyle w:val="Style30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5,36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подпрограммы с разбивкой по этапам и годам реализации»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паспорта муниципальной под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рограммы изложить в следующей редакции: « Средства бюджета муниципального образования «Тереньгульский район» на 2022 — 2024 гг всего 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40,15903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тыс.руб., в том числе по годам: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2023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67903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1.4. Раздел 6 Подпрограммы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Предлагаются следующие объемы финансирования за счет средств бюджета муниципального образования «Тереньгульский район»: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Средства бюджета муниципального образования «Тереньгульский район» на 2022 -2024 г.г. всего: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40,15903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в том числе: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2023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67903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 xml:space="preserve">Расходы на реализацию программных мероприятий за счет средств бюджета муниципального образования «Тереньгульский район» подлежат ежегодному уточнению при формировании бюджета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муниципального образования «Тереньгульский район»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на соответствующий финансовый год.»</w:t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1.5. </w:t>
      </w: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к подпрограмме «Кадровое обеспечение отрасли здравоохранения в муниципальном образовании «Тереньгульский район» </w:t>
      </w:r>
      <w:r>
        <w:rPr>
          <w:rFonts w:cs="PT Astra Serif" w:ascii="PT Astra Serif" w:hAnsi="PT Astra Serif"/>
          <w:sz w:val="28"/>
          <w:szCs w:val="28"/>
        </w:rPr>
        <w:t>на 2022-2024 г.»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изложить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в следующей редакции:</w:t>
      </w:r>
    </w:p>
    <w:p>
      <w:pPr>
        <w:pStyle w:val="Normal"/>
        <w:spacing w:lineRule="auto" w:line="240"/>
        <w:jc w:val="both"/>
        <w:rPr>
          <w:rStyle w:val="Style10"/>
          <w:rFonts w:cs="PT Astra Serif"/>
          <w:color w:val="000000"/>
          <w:shd w:fill="FFFFFF" w:val="clear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hanging="0" w:start="5103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«ПРИЛОЖЕНИЕ</w:t>
      </w:r>
    </w:p>
    <w:p>
      <w:pPr>
        <w:pStyle w:val="Normal"/>
        <w:ind w:hanging="0" w:start="0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подпрограмме «Кадровое обеспечение </w:t>
      </w:r>
    </w:p>
    <w:p>
      <w:pPr>
        <w:pStyle w:val="Normal"/>
        <w:ind w:hanging="0" w:start="0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отрасли здравоохранения </w:t>
      </w:r>
    </w:p>
    <w:p>
      <w:pPr>
        <w:pStyle w:val="Normal"/>
        <w:ind w:hanging="0" w:start="0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>
      <w:pPr>
        <w:pStyle w:val="Normal"/>
        <w:ind w:hanging="0" w:start="0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«Тереньгульский район» </w:t>
      </w:r>
    </w:p>
    <w:p>
      <w:pPr>
        <w:pStyle w:val="Normal"/>
        <w:ind w:hanging="0" w:start="0" w:end="0"/>
        <w:jc w:val="end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2022-2024 годы»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  <w:t>Перечень основных мероприятий муниципальной подпрограммы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tbl>
      <w:tblPr>
        <w:tblW w:w="9647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20"/>
        <w:gridCol w:w="1410"/>
        <w:gridCol w:w="1260"/>
        <w:gridCol w:w="1125"/>
        <w:gridCol w:w="1289"/>
        <w:gridCol w:w="1443"/>
      </w:tblGrid>
      <w:tr>
        <w:trPr>
          <w:cantSplit w:val="true"/>
        </w:trPr>
        <w:tc>
          <w:tcPr>
            <w:tcW w:w="31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511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Объем финансирования (тыс.руб.)</w:t>
            </w:r>
          </w:p>
        </w:tc>
      </w:tr>
      <w:tr>
        <w:trPr>
          <w:cantSplit w:val="true"/>
        </w:trPr>
        <w:tc>
          <w:tcPr>
            <w:tcW w:w="31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Возмещение расходов по найму жилого помещения в течение первых, трех лет (не менее) после трудоустройства в государственное учреждение здравоохранения в размере  </w:t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1000 рублей</w:t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34,6129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  <w:r>
              <w:rPr>
                <w:rFonts w:ascii="PT Astra Serif" w:hAnsi="PT Astra Serif"/>
                <w:szCs w:val="28"/>
              </w:rPr>
              <w:t>,</w:t>
            </w:r>
            <w:r>
              <w:rPr>
                <w:rFonts w:ascii="PT Astra Serif" w:hAnsi="PT Astra Serif"/>
                <w:szCs w:val="28"/>
              </w:rPr>
              <w:t>61290</w:t>
            </w:r>
          </w:p>
        </w:tc>
        <w:tc>
          <w:tcPr>
            <w:tcW w:w="144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6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</w:tr>
      <w:tr>
        <w:trPr/>
        <w:tc>
          <w:tcPr>
            <w:tcW w:w="3120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Приобретение сувенирной и подарочной продукции</w:t>
            </w:r>
          </w:p>
        </w:tc>
        <w:tc>
          <w:tcPr>
            <w:tcW w:w="1410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60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125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289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4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</w:tr>
      <w:tr>
        <w:trPr/>
        <w:tc>
          <w:tcPr>
            <w:tcW w:w="3120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410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60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25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89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44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Услуги банка за перечисление денежных средств в размере 1% от суммы зачисления на счета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54613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06613</w:t>
            </w:r>
          </w:p>
        </w:tc>
        <w:tc>
          <w:tcPr>
            <w:tcW w:w="144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36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40,15903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12,12</w:t>
            </w:r>
          </w:p>
        </w:tc>
        <w:tc>
          <w:tcPr>
            <w:tcW w:w="1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6,67903</w:t>
            </w:r>
          </w:p>
        </w:tc>
        <w:tc>
          <w:tcPr>
            <w:tcW w:w="14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36</w:t>
            </w:r>
          </w:p>
        </w:tc>
      </w:tr>
    </w:tbl>
    <w:p>
      <w:pPr>
        <w:pStyle w:val="Normal"/>
        <w:spacing w:lineRule="auto" w:line="192"/>
        <w:jc w:val="end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567" w:gutter="0" w:header="0" w:top="1134" w:footer="1172" w:bottom="1948"/>
          <w:pgNumType w:fmt="decimal"/>
          <w:formProt w:val="false"/>
          <w:titlePg/>
          <w:textDirection w:val="lrTb"/>
          <w:docGrid w:type="default" w:linePitch="600" w:charSpace="24576"/>
        </w:sect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suppressAutoHyphens w:val="true"/>
        <w:ind w:firstLine="709" w:start="0" w:end="0"/>
        <w:jc w:val="end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>«Приложение №3</w:t>
      </w:r>
    </w:p>
    <w:p>
      <w:pPr>
        <w:pStyle w:val="Default"/>
        <w:suppressAutoHyphens w:val="true"/>
        <w:ind w:firstLine="709" w:start="0" w:end="0"/>
        <w:jc w:val="end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 xml:space="preserve">к муниципальной программе  по укреплению </w:t>
      </w:r>
    </w:p>
    <w:p>
      <w:pPr>
        <w:pStyle w:val="Default"/>
        <w:suppressAutoHyphens w:val="true"/>
        <w:ind w:firstLine="709" w:start="0" w:end="0"/>
        <w:jc w:val="end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 xml:space="preserve">общественного здоровья «Здоровый муниципалитет на 2020-2024 годы» </w:t>
      </w:r>
    </w:p>
    <w:p>
      <w:pPr>
        <w:pStyle w:val="Default"/>
        <w:suppressAutoHyphens w:val="true"/>
        <w:ind w:firstLine="709" w:start="0" w:end="0"/>
        <w:jc w:val="end"/>
        <w:rPr>
          <w:rFonts w:ascii="PT Astra Serif" w:hAnsi="PT Astra Serif"/>
        </w:rPr>
      </w:pPr>
      <w:r>
        <w:rPr>
          <w:rFonts w:eastAsia="Batang;바탕" w:cs="PT Astra Serif" w:ascii="PT Astra Serif" w:hAnsi="PT Astra Serif"/>
          <w:b w:val="false"/>
          <w:bCs w:val="false"/>
          <w:iCs/>
          <w:sz w:val="24"/>
          <w:szCs w:val="24"/>
        </w:rPr>
        <w:t>муниципального образования «Тереньгульский район» Ульяновской области</w:t>
      </w:r>
      <w:r>
        <w:rPr>
          <w:rFonts w:eastAsia="Batang;바탕" w:cs="PT Astra Serif" w:ascii="PT Astra Serif" w:hAnsi="PT Astra Serif"/>
          <w:b/>
          <w:bCs/>
          <w:iCs/>
          <w:sz w:val="24"/>
          <w:szCs w:val="24"/>
        </w:rPr>
        <w:t>»</w:t>
      </w:r>
    </w:p>
    <w:p>
      <w:pPr>
        <w:pStyle w:val="Normal"/>
        <w:rPr>
          <w:rFonts w:ascii="PT Astra Serif" w:hAnsi="PT Astra Serif" w:cs="PT Astra Serif"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iCs/>
          <w:sz w:val="28"/>
          <w:szCs w:val="28"/>
        </w:rPr>
        <w:t>Мероприятия</w:t>
      </w:r>
      <w:r>
        <w:rPr>
          <w:rFonts w:eastAsia="Batang;바탕" w:cs="PT Astra Serif" w:ascii="PT Astra Serif" w:hAnsi="PT Astra Serif"/>
          <w:b/>
          <w:bCs/>
          <w:iCs/>
          <w:sz w:val="28"/>
          <w:szCs w:val="28"/>
        </w:rPr>
        <w:t xml:space="preserve"> муниципальной программы  по укреплению </w:t>
      </w:r>
      <w:r>
        <w:rPr>
          <w:rFonts w:eastAsia="Batang;바탕" w:cs="PT Astra Serif" w:ascii="PT Astra Serif" w:hAnsi="PT Astra Serif"/>
          <w:b/>
          <w:bCs/>
          <w:sz w:val="28"/>
          <w:szCs w:val="28"/>
        </w:rPr>
        <w:t xml:space="preserve">общественного здоровья 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Cs/>
          <w:sz w:val="28"/>
          <w:szCs w:val="28"/>
        </w:rPr>
      </w:pPr>
      <w:r>
        <w:rPr>
          <w:rFonts w:eastAsia="Batang;바탕" w:cs="PT Astra Serif" w:ascii="PT Astra Serif" w:hAnsi="PT Astra Serif"/>
          <w:b/>
          <w:bCs/>
          <w:sz w:val="28"/>
          <w:szCs w:val="28"/>
        </w:rPr>
        <w:t xml:space="preserve">«Здоровый муниципалитет на 2020-2024 годы» 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Batang;바탕" w:cs="PT Astra Serif" w:ascii="PT Astra Serif" w:hAnsi="PT Astra Serif"/>
          <w:b/>
          <w:bCs/>
          <w:iCs/>
          <w:color w:val="000000"/>
          <w:sz w:val="28"/>
          <w:szCs w:val="28"/>
          <w:lang w:eastAsia="ru-RU"/>
        </w:rPr>
        <w:t>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089" w:type="dxa"/>
        <w:jc w:val="start"/>
        <w:tblInd w:w="-23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00"/>
        <w:gridCol w:w="2733"/>
        <w:gridCol w:w="1912"/>
        <w:gridCol w:w="1376"/>
        <w:gridCol w:w="724"/>
        <w:gridCol w:w="900"/>
        <w:gridCol w:w="915"/>
        <w:gridCol w:w="1185"/>
        <w:gridCol w:w="872"/>
        <w:gridCol w:w="3672"/>
      </w:tblGrid>
      <w:tr>
        <w:trPr/>
        <w:tc>
          <w:tcPr>
            <w:tcW w:w="8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cs="PT Astra Serif" w:ascii="PT Astra Serif" w:hAnsi="PT Astra Serif"/>
                <w:sz w:val="24"/>
                <w:szCs w:val="24"/>
              </w:rPr>
              <w:br/>
            </w: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Срок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исполнители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367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start="720" w:end="0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1.Мероприятия, направленные на формирование регулярной двигательной активности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и занятий физической культурой и спортом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Районная спартакиада среди молодежи допризывного и призывного возрастов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 w:val="false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/>
                <w:iCs/>
                <w:color w:val="000000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 Отдел  образования муниципального образования «Тереньгульский 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 Отдел по делам культуры и организации досуга населения 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Times New Roman;serif" w:ascii="PT Astra Serif" w:hAnsi="PT Astra Serif"/>
                <w:color w:val="000000"/>
                <w:sz w:val="24"/>
                <w:szCs w:val="24"/>
              </w:rPr>
              <w:t>Соревнования между клубами молодых семей «Всей семьёй на стадион!»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 – 2024 гг.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 Отдел образования муниципального образования «Тереньгульский  район» (по согласованию), 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2.Мероприятия, направленные на профилактику и преодоление зависимости (вредных привычек) 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6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72097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Приобретение стендов, баннеров, направленных на пропаганду здорового образа жизни и негативного отношения к употреблению алкоголя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Конкурс</w:t>
            </w:r>
          </w:p>
          <w:p>
            <w:pPr>
              <w:pStyle w:val="Style21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«Мои здоровые привычки»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8"/>
              </w:rPr>
              <w:t>МОУ ДОД Центр детского творчества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Организация цикла статей по здоровому образу жизни и профилактике вредных привычек в районной газете «Тереньгульские вести»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ГУЗ «Тереньгульская районная больница» (по согласованию),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"Международного Дня борьбы с наркоманией", "Международного Дня отказа от курения", "Международного Дня борьбы со СПИДом" (организация акций, конкурсов плакатов и рисунков, спортивно-развлекательных соревнований и мероприятий в образовательных учреждения района, посвященных пропаганде здорового образа жизни и отказа от вредных привычек)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образования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 район» (по согласованию)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,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 район» (по согласованию)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3. Мероприятия, направленные на формирование ценностей здорового образа жизни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 xml:space="preserve">Проведение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 в рамках Всемирных дней здоровья: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 Всемирный день борьбы против рака (04.02);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 с туберкулезом (24.03);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Всемирный день здоровья (07.04);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астмой (07.05);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гипертонией (17.05);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без табака (31.05);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/>
            </w:pPr>
            <w:r>
              <w:rPr>
                <w:rStyle w:val="Strong"/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rong"/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Международный день борьбы со злоупотреблением наркотическими средствами и их незаконным оборотом (26.06);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Всемирный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 день сердца (29.09);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трезвости (03.10);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раком груди (15.10);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инсультом (29.10);</w:t>
            </w:r>
          </w:p>
          <w:p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Всемирный день борьбы с сахарным диабетом (14.11);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Всемирный день борьбы со СПИДОМ (01.12)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8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11,745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10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МУ Отдел образования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 «Тереньгульский район»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 «Тереньгульский район»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    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Отдел ЗАГС администрации </w:t>
            </w: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муниципального образования  «Тереньгульский район»,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ОГКУСЗН отделение по Тереньгульскому району  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Центр «Семья»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Проведение цикла мероприятий для семей, воспитывающих детей с ограниченными возможностями здоровья: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Тренинг для родителей детей инвалидов «Семья с ребенком-инвалидом» (встреча с педагогом-психологом);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конкурс рисунков «Мы за здоровый образ жизни»;</w:t>
            </w:r>
          </w:p>
          <w:p>
            <w:pPr>
              <w:pStyle w:val="Style28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практическое занятие «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Путешествие в страну здоровья»;</w:t>
            </w:r>
          </w:p>
          <w:p>
            <w:pPr>
              <w:pStyle w:val="Style28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игра «Совершенно верно».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Январь-май 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Функционирование центров активного долголетия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1200,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ОГКУСЗН отделение по Тереньгульскому району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Членство в Ассоциации «Здоровые города, районы и поселки». 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Сентябрь-октябрь 2020-2024 гг.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Проведение в общеобразовательных учреждениях районных конкурсов, направленных на формирование культуры здор</w:t>
            </w:r>
            <w:r>
              <w:rPr>
                <w:rFonts w:cs="PT Astra Serif" w:ascii="PT Astra Serif" w:hAnsi="PT Astra Serif"/>
                <w:b w:val="false"/>
                <w:bCs w:val="false"/>
                <w:iCs/>
                <w:sz w:val="24"/>
                <w:szCs w:val="24"/>
              </w:rPr>
              <w:t>ового образа жизни (</w:t>
            </w:r>
            <w:r>
              <w:rPr>
                <w:rStyle w:val="Strong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«Здоровый образ жизни – мой выбор!»</w:t>
            </w: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, «Здоровый образ жизни — это стильно!»)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Сентябрь-май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МУ Отдел образования   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BodyText"/>
              <w:snapToGrid w:val="false"/>
              <w:spacing w:before="0" w:after="12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 ДО Центр детского творчества муниципального образования «Тереньгульский район»  (по согласованию)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14289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4. Мероприятия, направленные на регулярность медицинского контроля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Обеспечение подвоза населения на флюорографическое обследование </w:t>
            </w:r>
            <w:r>
              <w:rPr>
                <w:rFonts w:cs="PT Astra Serif" w:ascii="PT Astra Serif" w:hAnsi="PT Astra Serif"/>
                <w:sz w:val="24"/>
                <w:szCs w:val="24"/>
                <w:lang w:val="ru-RU"/>
              </w:rPr>
              <w:t>в ГУЗ «Тереньгульская районная больница»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</w:t>
            </w:r>
          </w:p>
        </w:tc>
      </w:tr>
      <w:tr>
        <w:trPr/>
        <w:tc>
          <w:tcPr>
            <w:tcW w:w="8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Оказание содействия в проведении выездной флюорографической кампании в Тереньгульском районе районе </w:t>
            </w:r>
          </w:p>
        </w:tc>
        <w:tc>
          <w:tcPr>
            <w:tcW w:w="19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2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</w:r>
          </w:p>
        </w:tc>
        <w:tc>
          <w:tcPr>
            <w:tcW w:w="1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1344,46597</w:t>
            </w:r>
          </w:p>
        </w:tc>
        <w:tc>
          <w:tcPr>
            <w:tcW w:w="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3,745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31,72097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</w:tr>
    </w:tbl>
    <w:p>
      <w:pPr>
        <w:sectPr>
          <w:footerReference w:type="even" r:id="rId5"/>
          <w:footerReference w:type="default" r:id="rId6"/>
          <w:footerReference w:type="first" r:id="rId7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</w:pPr>
    </w:p>
    <w:p>
      <w:pPr>
        <w:pStyle w:val="Normal"/>
        <w:jc w:val="end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»</w:t>
      </w:r>
    </w:p>
    <w:p>
      <w:pPr>
        <w:pStyle w:val="Normal"/>
        <w:ind w:firstLine="709" w:start="0" w:end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</w:rPr>
        <w:t xml:space="preserve">2. </w:t>
      </w:r>
      <w:r>
        <w:rPr>
          <w:rFonts w:cs="PT Astra Serif" w:ascii="PT Astra Serif" w:hAnsi="PT Astra Serif"/>
          <w:color w:val="000000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Ульяновской области                                                                      Г.А. Шерстнев</w:t>
      </w:r>
      <w:r>
        <w:rPr>
          <w:rFonts w:ascii="PT Astra Serif" w:hAnsi="PT Astra Serif"/>
          <w:szCs w:val="28"/>
        </w:rPr>
        <w:t xml:space="preserve">           </w:t>
      </w:r>
    </w:p>
    <w:sectPr>
      <w:footerReference w:type="even" r:id="rId8"/>
      <w:footerReference w:type="default" r:id="rId9"/>
      <w:type w:val="nextPage"/>
      <w:pgSz w:w="11906" w:h="16838"/>
      <w:pgMar w:left="1701" w:right="848" w:gutter="0" w:header="0" w:top="1134" w:footer="72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Times New Roma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 w:characterSet="utf-8"/>
    <w:family w:val="modern"/>
    <w:pitch w:val="default"/>
  </w:font>
  <w:font w:name="Sylfaen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LineNumbers/>
      <w:suppressAutoHyphens w:val="false"/>
      <w:bidi w:val="0"/>
      <w:ind w:hanging="510" w:start="0" w:end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decimal"/>
      <w:lvlText w:val=".%2"/>
      <w:lvlJc w:val="start"/>
      <w:pPr>
        <w:tabs>
          <w:tab w:val="num" w:pos="1080"/>
        </w:tabs>
        <w:ind w:start="1080" w:hanging="360"/>
      </w:pPr>
      <w:rPr/>
    </w:lvl>
    <w:lvl w:ilvl="2">
      <w:start w:val="1"/>
      <w:pStyle w:val="Heading3"/>
      <w:numFmt w:val="decimal"/>
      <w:lvlText w:val=".%3"/>
      <w:lvlJc w:val="start"/>
      <w:pPr>
        <w:tabs>
          <w:tab w:val="num" w:pos="1440"/>
        </w:tabs>
        <w:ind w:start="1440" w:hanging="360"/>
      </w:pPr>
      <w:rPr/>
    </w:lvl>
    <w:lvl w:ilvl="3">
      <w:start w:val="1"/>
      <w:pStyle w:val="Heading4"/>
      <w:numFmt w:val="decimal"/>
      <w:lvlText w:val=".%4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1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2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3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4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5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6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7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  <w:lvl w:ilvl="8">
      <w:start w:val="1"/>
      <w:numFmt w:val="bullet"/>
      <w:suff w:val="nothing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24"/>
        <w:szCs w:val="24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evenAndOddHeaders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PT Astra Serif"/>
      <w:color w:val="000000"/>
      <w:sz w:val="24"/>
      <w:szCs w:val="24"/>
    </w:rPr>
  </w:style>
  <w:style w:type="character" w:styleId="WW8Num3z0">
    <w:name w:val="WW8Num3z0"/>
    <w:qFormat/>
    <w:rPr>
      <w:rFonts w:ascii="Wingdings" w:hAnsi="Wingdings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0">
    <w:name w:val="Основной шрифт абзаца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7z0">
    <w:name w:val="WW8Num7z0"/>
    <w:qFormat/>
    <w:rPr>
      <w:rFonts w:ascii="Courier New" w:hAnsi="Courier New" w:cs="Times New Roman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Symbol" w:hAnsi="Symbol" w:eastAsia="Arial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2">
    <w:name w:val="Основной шрифт абзаца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Hyperlink">
    <w:name w:val="Hyperlink"/>
    <w:rPr>
      <w:color w:val="0000FF"/>
      <w:u w:val="single"/>
    </w:rPr>
  </w:style>
  <w:style w:type="character" w:styleId="9">
    <w:name w:val=" Знак Знак9"/>
    <w:qFormat/>
    <w:rPr>
      <w:rFonts w:ascii="Calibri" w:hAnsi="Calibri" w:cs="Calibri"/>
      <w:sz w:val="22"/>
      <w:szCs w:val="22"/>
      <w:lang w:val="ru-RU" w:bidi="ar-SA"/>
    </w:rPr>
  </w:style>
  <w:style w:type="character" w:styleId="7">
    <w:name w:val=" Знак Знак7"/>
    <w:qFormat/>
    <w:rPr>
      <w:rFonts w:ascii="Calibri" w:hAnsi="Calibri" w:cs="Calibri"/>
      <w:sz w:val="22"/>
      <w:szCs w:val="22"/>
      <w:lang w:val="ru-RU" w:bidi="ar-SA"/>
    </w:rPr>
  </w:style>
  <w:style w:type="character" w:styleId="6">
    <w:name w:val=" Знак Знак6"/>
    <w:qFormat/>
    <w:rPr>
      <w:rFonts w:ascii="Calibri" w:hAnsi="Calibri" w:cs="Calibri"/>
      <w:sz w:val="16"/>
      <w:szCs w:val="16"/>
      <w:lang w:val="ru-RU" w:bidi="ar-SA"/>
    </w:rPr>
  </w:style>
  <w:style w:type="character" w:styleId="Style11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11">
    <w:name w:val=" Знак Знак1"/>
    <w:qFormat/>
    <w:rPr>
      <w:rFonts w:ascii="Courier New" w:hAnsi="Courier New" w:cs="Courier New"/>
      <w:lang w:val="ru-RU" w:bidi="ar-SA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spacing w:val="20"/>
      <w:sz w:val="26"/>
      <w:szCs w:val="26"/>
    </w:rPr>
  </w:style>
  <w:style w:type="character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WW--">
    <w:name w:val="WW-Интернет-ссылка"/>
    <w:qFormat/>
    <w:rPr>
      <w:color w:val="0000FF"/>
      <w:u w:val="single"/>
    </w:rPr>
  </w:style>
  <w:style w:type="character" w:styleId="Style12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8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ascii="PT Astra Serif" w:hAnsi="PT Astra Serif" w:cs="Lucida Sans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firstLine="514" w:start="0" w:end="0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hanging="1272" w:start="0" w:end="0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firstLine="2587" w:start="0" w:end="0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firstLine="1243" w:start="0" w:end="0"/>
    </w:pPr>
    <w:rPr>
      <w:sz w:val="24"/>
      <w:szCs w:val="24"/>
    </w:rPr>
  </w:style>
  <w:style w:type="paragraph" w:styleId="Style19">
    <w:name w:val="Style19"/>
    <w:basedOn w:val="Normal"/>
    <w:qFormat/>
    <w:pPr>
      <w:widowControl w:val="false"/>
      <w:autoSpaceDE w:val="false"/>
      <w:spacing w:lineRule="exact" w:line="194"/>
      <w:ind w:firstLine="254" w:start="0" w:end="0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hanging="250" w:start="0" w:end="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firstLine="709" w:start="0" w:end="0"/>
      <w:jc w:val="both"/>
    </w:pPr>
    <w:rPr>
      <w:rFonts w:cs="Calibri"/>
      <w:szCs w:val="28"/>
      <w:lang w:val="en-US"/>
    </w:rPr>
  </w:style>
  <w:style w:type="paragraph" w:styleId="Subtitle">
    <w:name w:val="Subtitle"/>
    <w:basedOn w:val="Normal"/>
    <w:next w:val="BodyText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1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6">
    <w:name w:val="Style"/>
    <w:basedOn w:val="Normal"/>
    <w:qFormat/>
    <w:pPr>
      <w:widowControl w:val="false"/>
      <w:suppressAutoHyphens w:val="true"/>
      <w:spacing w:lineRule="auto" w:line="360"/>
      <w:ind w:firstLine="709" w:start="0" w:end="0"/>
      <w:jc w:val="both"/>
    </w:pPr>
    <w:rPr>
      <w:rFonts w:ascii="Arial" w:hAnsi="Arial" w:cs="Arial"/>
      <w:kern w:val="2"/>
      <w:sz w:val="20"/>
    </w:rPr>
  </w:style>
  <w:style w:type="paragraph" w:styleId="Style2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hanging="0" w:start="283" w:end="0"/>
    </w:pPr>
    <w:rPr>
      <w:rFonts w:ascii="Calibri" w:hAnsi="Calibri" w:cs="Calibri"/>
      <w:sz w:val="22"/>
      <w:szCs w:val="22"/>
    </w:rPr>
  </w:style>
  <w:style w:type="paragraph" w:styleId="32">
    <w:name w:val="Основной текст с отступом 32"/>
    <w:basedOn w:val="Normal"/>
    <w:qFormat/>
    <w:pPr>
      <w:spacing w:lineRule="auto" w:line="276" w:before="0" w:after="120"/>
      <w:ind w:hanging="0" w:start="283" w:end="0"/>
    </w:pPr>
    <w:rPr>
      <w:rFonts w:ascii="Calibri" w:hAnsi="Calibri" w:cs="Calibri"/>
      <w:sz w:val="16"/>
      <w:szCs w:val="16"/>
    </w:rPr>
  </w:style>
  <w:style w:type="paragraph" w:styleId="15">
    <w:name w:val="Текст1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26"/>
      <w:ind w:hanging="360" w:start="0" w:end="0"/>
    </w:pPr>
    <w:rPr>
      <w:sz w:val="24"/>
      <w:szCs w:val="24"/>
    </w:rPr>
  </w:style>
  <w:style w:type="paragraph" w:styleId="HEADERTEXT">
    <w:name w:val=".HEADERTEX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2B4279"/>
      <w:sz w:val="22"/>
      <w:szCs w:val="22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9">
    <w:name w:val="Абзац списка"/>
    <w:basedOn w:val="Normal"/>
    <w:qFormat/>
    <w:pPr>
      <w:suppressAutoHyphens w:val="true"/>
      <w:spacing w:lineRule="auto" w:line="276" w:before="0" w:after="200"/>
      <w:ind w:hanging="0" w:start="720" w:end="0"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ConsPlusCellTimesNewRoman">
    <w:name w:val="ConsPlusCell + Times New Roman"/>
    <w:basedOn w:val="Normal"/>
    <w:qFormat/>
    <w:pPr>
      <w:widowControl w:val="false"/>
      <w:jc w:val="center"/>
    </w:pPr>
    <w:rPr>
      <w:b/>
      <w:bCs/>
      <w:sz w:val="24"/>
      <w:szCs w:val="24"/>
    </w:rPr>
  </w:style>
  <w:style w:type="paragraph" w:styleId="Footer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Style30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Droid Sans Fallback" w:cs="Droid Sans Devanagari"/>
      <w:color w:val="auto"/>
      <w:sz w:val="28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902</TotalTime>
  <Application>LibreOffice/7.6.6.3$Linux_X86_64 LibreOffice_project/60$Build-3</Application>
  <AppVersion>15.0000</AppVersion>
  <Pages>10</Pages>
  <Words>1469</Words>
  <Characters>10663</Characters>
  <CharactersWithSpaces>12093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2018-11-09T12:13:00Z</dcterms:created>
  <dc:creator>User</dc:creator>
  <dc:description/>
  <dc:language>ru-RU</dc:language>
  <cp:lastModifiedBy/>
  <cp:lastPrinted>2023-11-08T09:50:24Z</cp:lastPrinted>
  <dcterms:modified xsi:type="dcterms:W3CDTF">2024-09-04T16:13:12Z</dcterms:modified>
  <cp:revision>52</cp:revision>
  <dc:subject/>
  <dc:title>ГЛАВА  МУНИЦИПАЛЬНОГО ОБРАЗОВАНИЯ</dc:title>
</cp:coreProperties>
</file>