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 w:before="0" w:after="0"/>
        <w:ind w:left="567" w:hanging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 xml:space="preserve"> </w:t>
      </w: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pacing w:val="144"/>
          <w:sz w:val="36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36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 xml:space="preserve">14.08. </w:t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202</w:t>
      </w: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4 г.</w:t>
      </w: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 xml:space="preserve">                   </w:t>
        <w:tab/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№</w:t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407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от 22.12.2023 № 595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eastAsiaTheme="minorHAnsi"/>
          <w:color w:val="000000" w:themeColor="text1"/>
          <w:sz w:val="28"/>
          <w:szCs w:val="28"/>
        </w:rPr>
      </w:pPr>
      <w:r>
        <w:rPr>
          <w:rFonts w:eastAsia="Calibri" w:ascii="PT Astra Serif" w:hAnsi="PT Astra Serif" w:eastAsiaTheme="minorHAnsi"/>
          <w:color w:val="000000" w:themeColor="text1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         </w:t>
      </w:r>
      <w:r>
        <w:rPr>
          <w:rFonts w:eastAsia="Calibri" w:ascii="PT Astra Serif" w:hAnsi="PT Astra Serif" w:eastAsiaTheme="minorHAnsi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color w:val="000000" w:themeColor="text1"/>
          <w:sz w:val="28"/>
          <w:szCs w:val="28"/>
        </w:rPr>
        <w:tab/>
      </w:r>
      <w:r>
        <w:rPr>
          <w:rFonts w:eastAsia="Calibri" w:ascii="PT Astra Serif" w:hAnsi="PT Astra Serif" w:eastAsiaTheme="minorHAnsi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22 декабря 2023 года № 595    </w:t>
      </w:r>
      <w:r>
        <w:rPr>
          <w:rFonts w:eastAsia="Calibri" w:ascii="PT Astra Serif" w:hAnsi="PT Astra Serif" w:eastAsiaTheme="minorHAnsi"/>
          <w:b/>
          <w:sz w:val="28"/>
          <w:szCs w:val="28"/>
        </w:rPr>
        <w:t xml:space="preserve"> </w:t>
      </w:r>
      <w:r>
        <w:rPr>
          <w:rFonts w:eastAsia="Calibri" w:ascii="PT Astra Serif" w:hAnsi="PT Astra Serif" w:eastAsiaTheme="minorHAnsi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«Тереньгульский район»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sz w:val="28"/>
          <w:szCs w:val="28"/>
        </w:rPr>
        <w:tab/>
        <w:t>1.2. В строке «Ресурсное обеспечение муниципальной программы с разбивкой по этапам и годам реализации» паспорта программы слова «Для реализации Программы необходимо 2204760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 xml:space="preserve"> рублей 00 копеек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, в том числе: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2024 год – 209800 рублей 00 копеек, 2025 год – 178800</w:t>
      </w:r>
      <w:r>
        <w:rPr>
          <w:rFonts w:eastAsia="Calibri" w:cs="" w:ascii="PT Astra Serif" w:hAnsi="PT Astra Serif" w:cstheme="minorBidi" w:eastAsiaTheme="minorHAnsi"/>
          <w:color w:val="FF0000"/>
          <w:sz w:val="28"/>
          <w:szCs w:val="28"/>
        </w:rPr>
        <w:t xml:space="preserve">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рублей 00 копеек, 2026 год – 178 800 рублей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»,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2027 год – 794120 рублей 00 копеек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»,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2028 год – 843240 рублей 00 копеек</w:t>
      </w:r>
      <w:r>
        <w:rPr>
          <w:rFonts w:eastAsia="Calibri" w:ascii="PT Astra Serif" w:hAnsi="PT Astra Serif" w:eastAsiaTheme="minorHAnsi"/>
          <w:sz w:val="28"/>
          <w:szCs w:val="28"/>
        </w:rPr>
        <w:t>» заменить словами «Для реализации Программы 2104760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 xml:space="preserve"> рублей 00 копеек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, в том числе: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2024 год – 109800 рублей 00 копеек, 2025 год – 178800 рублей 00 копеек, 2026 год – 178 800 рублей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»,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2027 год – 794120 рублей 00 копеек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»,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2028 год – 843240 рублей 00 копеек</w:t>
      </w:r>
      <w:r>
        <w:rPr>
          <w:rFonts w:eastAsia="Calibri" w:ascii="PT Astra Serif" w:hAnsi="PT Astra Serif" w:eastAsiaTheme="minorHAnsi"/>
          <w:sz w:val="28"/>
          <w:szCs w:val="28"/>
        </w:rPr>
        <w:t>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sz w:val="28"/>
          <w:szCs w:val="28"/>
        </w:rPr>
        <w:tab/>
      </w:r>
      <w:bookmarkStart w:id="0" w:name="_GoBack"/>
      <w:bookmarkEnd w:id="0"/>
      <w:r>
        <w:rPr>
          <w:rFonts w:eastAsia="Calibri" w:ascii="PT Astra Serif" w:hAnsi="PT Astra Serif" w:eastAsiaTheme="minorHAnsi"/>
          <w:sz w:val="28"/>
          <w:szCs w:val="28"/>
        </w:rPr>
        <w:t>1.3. Приложение №2 к программе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eastAsiaTheme="minorHAnsi" w:ascii="PT Astra Serif" w:hAnsi="PT Astra Serif"/>
          <w:sz w:val="36"/>
          <w:szCs w:val="36"/>
        </w:rPr>
      </w:r>
    </w:p>
    <w:p>
      <w:pPr>
        <w:sectPr>
          <w:headerReference w:type="default" r:id="rId2"/>
          <w:type w:val="nextPage"/>
          <w:pgSz w:w="11906" w:h="16838"/>
          <w:pgMar w:left="1701" w:right="567" w:gutter="0" w:header="278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36"/>
          <w:szCs w:val="36"/>
        </w:rPr>
      </w:pPr>
      <w:r>
        <w:rPr>
          <w:rFonts w:eastAsia="Calibri" w:ascii="PT Astra Serif" w:hAnsi="PT Astra Serif" w:eastAsiaTheme="minorHAnsi"/>
          <w:sz w:val="36"/>
          <w:szCs w:val="36"/>
        </w:rPr>
        <w:t>0438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  <w:t xml:space="preserve">Приложение </w:t>
      </w: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  <w:t>№</w:t>
      </w: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  <w:t xml:space="preserve"> 2</w:t>
      </w:r>
      <w:r>
        <w:rPr>
          <w:rFonts w:eastAsia="Liberation Serif" w:cs="Liberation Serif" w:ascii="PT Astra Serif" w:hAnsi="PT Astra Serif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  <w:t>к Программе</w:t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jc w:val="center"/>
        <w:textAlignment w:val="baseline"/>
        <w:rPr>
          <w:rFonts w:ascii="PT Astra Serif" w:hAnsi="PT Astra Serif" w:eastAsia="PT Astra Serif" w:cs="PT Astra Serif"/>
          <w:b/>
          <w:b/>
          <w:bCs/>
          <w:kern w:val="2"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bCs/>
          <w:kern w:val="2"/>
          <w:sz w:val="28"/>
          <w:szCs w:val="28"/>
          <w:lang w:eastAsia="ru-RU"/>
        </w:rPr>
        <w:t xml:space="preserve">Система мероприятий муниципальной программы </w:t>
      </w:r>
      <w:r>
        <w:rPr>
          <w:rFonts w:eastAsia="Times New Roman" w:ascii="PT Astra Serif" w:hAnsi="PT Astra Serif"/>
          <w:b/>
          <w:sz w:val="28"/>
          <w:szCs w:val="20"/>
          <w:lang w:eastAsia="ar-SA"/>
        </w:rPr>
        <w:t>«Развитие муниципального управления в муниципальном образовании «Тереньгульский район».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20"/>
        <w:jc w:val="center"/>
        <w:textAlignment w:val="baseline"/>
        <w:rPr>
          <w:rFonts w:ascii="PT Astra Serif" w:hAnsi="PT Astra Serif" w:eastAsia="Times New Roman" w:cs="PT Astra Serif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ru-RU"/>
        </w:rPr>
        <w:t>_____________________________________________________________________________</w:t>
      </w:r>
    </w:p>
    <w:tbl>
      <w:tblPr>
        <w:tblW w:w="14340" w:type="dxa"/>
        <w:jc w:val="left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579"/>
        <w:gridCol w:w="1134"/>
        <w:gridCol w:w="1302"/>
        <w:gridCol w:w="855"/>
        <w:gridCol w:w="859"/>
        <w:gridCol w:w="486"/>
        <w:gridCol w:w="506"/>
        <w:gridCol w:w="2011"/>
        <w:gridCol w:w="1629"/>
        <w:gridCol w:w="992"/>
        <w:gridCol w:w="738"/>
        <w:gridCol w:w="750"/>
        <w:gridCol w:w="812"/>
        <w:gridCol w:w="826"/>
        <w:gridCol w:w="861"/>
      </w:tblGrid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N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Ответственные исполнители мероприятия</w:t>
            </w:r>
          </w:p>
        </w:tc>
        <w:tc>
          <w:tcPr>
            <w:tcW w:w="1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Срок реализации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Контрольное событие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Дата наступления контрольного события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Наименование целевого индикатора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9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начала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окончания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2024 год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2025 год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2026 год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2027 год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2028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год</w:t>
            </w:r>
          </w:p>
        </w:tc>
      </w:tr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</w:tr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  <w:t xml:space="preserve">Диспансеризация муниципальных служащих и </w:t>
            </w:r>
            <w:r>
              <w:rPr>
                <w:rFonts w:eastAsia="Times New Roman" w:ascii="PT Astra Serif" w:hAnsi="PT Astra Serif"/>
                <w:spacing w:val="10"/>
                <w:kern w:val="2"/>
                <w:sz w:val="20"/>
                <w:szCs w:val="20"/>
                <w:lang w:eastAsia="zh-CN"/>
              </w:rPr>
              <w:t>работников, занимающих должности, не отнесенные к муниципальным должностям, и осуществляющих техническое обеспечение деятельности администрации МО</w:t>
            </w:r>
            <w:r>
              <w:rPr>
                <w:rFonts w:eastAsia="Times New Roman" w:ascii="PT Astra Serif" w:hAnsi="PT Astra Serif"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«Тереньгульский район»</w:t>
            </w: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  <w:t xml:space="preserve"> и её отраслевых (функциональных) органов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ИТОГО: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Calibri"/>
                <w:color w:val="000000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eastAsia="Times New Roman" w:cs="Calibri" w:ascii="PT Astra Serif" w:hAnsi="PT Astra Serif"/>
                <w:color w:val="000000"/>
                <w:kern w:val="2"/>
                <w:sz w:val="20"/>
                <w:szCs w:val="20"/>
                <w:lang w:eastAsia="ru-RU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cs="Calibri" w:ascii="PT Astra Serif" w:hAnsi="PT Astra Serif"/>
                <w:color w:val="000000"/>
                <w:kern w:val="2"/>
                <w:sz w:val="20"/>
                <w:szCs w:val="20"/>
                <w:lang w:eastAsia="ru-RU" w:bidi="hi-IN"/>
              </w:rPr>
              <w:t xml:space="preserve">Проведение Корпоративных мероприятий. </w:t>
            </w: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ИТОГО: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5" w:hanging="0"/>
              <w:textAlignment w:val="baseline"/>
              <w:rPr>
                <w:rFonts w:ascii="PT Astra Serif" w:hAnsi="PT Astra Serif" w:eastAsia="Times New Roman" w:cs="Calibri"/>
                <w:color w:val="000000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eastAsia="Times New Roman" w:cs="Calibri" w:ascii="PT Astra Serif" w:hAnsi="PT Astra Serif"/>
                <w:color w:val="000000"/>
                <w:kern w:val="2"/>
                <w:sz w:val="20"/>
                <w:szCs w:val="20"/>
                <w:lang w:eastAsia="ru-RU" w:bidi="hi-IN"/>
              </w:rPr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>Администрация МО «Тереньгульский район»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Финансовый отдел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Отдел образования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>МУ Отдел по делам культуры и организации досуга населения МО «Тереньгульский район» (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«Комитет по управлению муниципальным имуществом и земельным отношениям МО «Тереньгульский район» Ульяновской области»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Совет депутатов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ar-SA"/>
              </w:rPr>
              <w:t>Администрация МО «Тереньгульский район»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Доля муниципальных служащих администрации муниципального образования «Тереньгульский район» и ее отраслевых (функциональных) органов, прошедших диспансеризацию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Проведение Корпоративных мероприятий. 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 и датами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Бюджет МО «Тереньгульский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270,0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86,0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28,0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21,5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31,5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17,0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454,0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  <w:t>267,0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Verdana" w:cs="Tahoma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00,0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24,0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37,0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2,0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53,0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2,0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53,0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22,0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157,0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110,0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22,0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10,5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3,5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167,0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110,0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110,0</w:t>
            </w:r>
          </w:p>
        </w:tc>
      </w:tr>
      <w:tr>
        <w:trPr>
          <w:trHeight w:val="602" w:hRule="atLeast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eastAsia="Times New Roman" w:ascii="PT Astra Serif" w:hAnsi="PT Astra Serif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поступившим на работу в </w:t>
            </w: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  <w:t>администрацию муниципального образования «Тереньгульский район» и её отраслевые (функциональные) органы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4"/>
                <w:szCs w:val="24"/>
                <w:lang w:eastAsia="zh-CN"/>
              </w:rPr>
              <w:t>ИТОГО: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szCs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>Администрация МО «Тереньгульский район»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Отдел образования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«Комитет по управлению муниципальным имуществом и земельным отношениям МО «Тереньгульский район» Ульяновской области»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b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/>
                <w:kern w:val="2"/>
                <w:sz w:val="20"/>
                <w:szCs w:val="20"/>
                <w:lang w:eastAsia="ru-RU"/>
              </w:rPr>
              <w:t>Услуги банка 1%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Доля молодых специалистов, поступивших на работу в администрацию муниципального образования «Тереньгульский район» и ее отраслевые (функциональные) органы, которым были предоставлены меры социальной поддержки от числа принятых молодых специалистов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Бюджет МО «Тереньгульский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773,3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24,0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8,46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817,76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13,3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13,8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80,8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80,8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300,0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3,12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315,12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300,0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3,24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327,24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</w:tc>
      </w:tr>
      <w:tr>
        <w:trPr>
          <w:trHeight w:val="1453" w:hRule="atLeast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PT Astra Serif" w:hAnsi="PT Astra Serif" w:eastAsia="Times New Roman"/>
                <w:color w:val="000000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ar-SA" w:bidi="hi-IN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eastAsia="Times New Roman" w:ascii="PT Astra Serif" w:hAnsi="PT Astra Serif"/>
                <w:bCs/>
                <w:color w:val="000000"/>
                <w:kern w:val="2"/>
                <w:sz w:val="20"/>
                <w:szCs w:val="20"/>
                <w:lang w:eastAsia="ru-RU" w:bidi="hi-IN"/>
              </w:rPr>
              <w:t xml:space="preserve">и работников, </w:t>
            </w:r>
            <w:r>
              <w:rPr>
                <w:rFonts w:ascii="PT Astra Serif" w:hAnsi="PT Astra Serif"/>
                <w:iCs/>
                <w:color w:val="000000"/>
                <w:kern w:val="2"/>
                <w:sz w:val="20"/>
                <w:szCs w:val="20"/>
                <w:lang w:bidi="hi-IN"/>
              </w:rPr>
              <w:t>осуществляющих техническое обеспечение деятельности администрации</w:t>
            </w:r>
            <w:r>
              <w:rPr>
                <w:rFonts w:cs="Calibri" w:ascii="PT Astra Serif" w:hAnsi="PT Astra Serif"/>
                <w:iCs/>
                <w:color w:val="000000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Times New Roman" w:ascii="PT Astra Serif" w:hAnsi="PT Astra Serif"/>
                <w:color w:val="000000"/>
                <w:kern w:val="2"/>
                <w:sz w:val="20"/>
                <w:szCs w:val="20"/>
                <w:lang w:eastAsia="ar-SA" w:bidi="hi-IN"/>
              </w:rPr>
              <w:t>муниципального образования «Тереньгульский район» и её отраслевых (функциональных) органов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>Администрация МО «Тереньгульский район»)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Финансовый отдел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Отдел образования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>МУ Отдел по делам культуры и организации досуга населения МО «Тереньгульский район» (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МУ «Комитет по управлению муниципальным имуществом и земельным отношениям МО «Тереньгульский район» Ульяновской области»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  <w:t xml:space="preserve">Совет депутатов МО «Тереньгульский район» </w:t>
            </w:r>
            <w:r>
              <w:rPr>
                <w:rFonts w:eastAsia="Times New Roman"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ru-RU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="PT Astra Serif" w:hAnsi="PT Astra Serif"/>
                <w:sz w:val="20"/>
                <w:szCs w:val="20"/>
                <w:lang w:eastAsia="ar-SA"/>
              </w:rPr>
              <w:t>Доля муниципальных служащих и работников, осуществляющих техническое обеспечение деятельности администрации муниципального образования «Тереньгульский район» и ее отраслевых (функциональных) органов, прошедших повышение квалификации и профессиональную переподготовку от количества планируемых пройти обучение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ru-RU"/>
              </w:rPr>
              <w:t>Бюджет МО «Тереньгульский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475,0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28,0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28,0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566,0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35,0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35,0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35,0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35,0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35,0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35,0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180,0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222,0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190,0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PT Astra Serif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sz w:val="20"/>
                <w:szCs w:val="20"/>
                <w:lang w:eastAsia="zh-CN" w:bidi="hi-IN"/>
              </w:rPr>
              <w:t>239,0</w:t>
            </w:r>
          </w:p>
        </w:tc>
      </w:tr>
      <w:tr>
        <w:trPr/>
        <w:tc>
          <w:tcPr>
            <w:tcW w:w="77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ВСЕГО: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PT Astra Serif" w:hAnsi="PT Astra Serif" w:cs="PT Astra Serif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  <w:lang w:eastAsia="zh-CN" w:bidi="hi-IN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2104,76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109,8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178,8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178,8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794,12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PT Astra Serif" w:hAnsi="PT Astra Serif" w:eastAsia="Times New Roman" w:cs="PT Astra Serif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0"/>
                <w:szCs w:val="20"/>
                <w:lang w:eastAsia="zh-CN" w:bidi="hi-IN"/>
              </w:rPr>
              <w:t>843,24</w:t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1134" w:right="1134" w:gutter="0" w:header="278" w:top="1701" w:footer="0" w:bottom="56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«Тереньгульский район»</w:t>
        <w:tab/>
        <w:tab/>
        <w:tab/>
        <w:tab/>
        <w:t xml:space="preserve">                                Г.А.Шерстнев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27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231b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Style18"/>
    <w:link w:val="41"/>
    <w:qFormat/>
    <w:rsid w:val="001278d3"/>
    <w:pPr>
      <w:keepNext w:val="true"/>
      <w:numPr>
        <w:ilvl w:val="3"/>
        <w:numId w:val="1"/>
      </w:numPr>
      <w:suppressAutoHyphens w:val="true"/>
      <w:spacing w:lineRule="auto" w:line="240" w:before="240" w:after="120"/>
      <w:outlineLvl w:val="3"/>
    </w:pPr>
    <w:rPr>
      <w:rFonts w:ascii="Times New Roman" w:hAnsi="Times New Roman" w:eastAsia="Lucida Sans Unicode" w:cs="Tahoma"/>
      <w:b/>
      <w:bCs/>
      <w:sz w:val="24"/>
      <w:szCs w:val="24"/>
      <w:lang w:eastAsia="zh-CN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1278d3"/>
    <w:pPr>
      <w:keepNext w:val="true"/>
      <w:keepLines/>
      <w:suppressAutoHyphens w:val="true"/>
      <w:spacing w:lineRule="auto" w:line="240"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9f5bb1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character" w:styleId="41" w:customStyle="1">
    <w:name w:val="Заголовок 4 Знак"/>
    <w:basedOn w:val="DefaultParagraphFont"/>
    <w:qFormat/>
    <w:rsid w:val="001278d3"/>
    <w:rPr>
      <w:rFonts w:ascii="Times New Roman" w:hAnsi="Times New Roman" w:eastAsia="Lucida Sans Unicode" w:cs="Tahoma"/>
      <w:b/>
      <w:bCs/>
      <w:sz w:val="24"/>
      <w:szCs w:val="24"/>
      <w:lang w:eastAsia="zh-CN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1278d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8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1278d3"/>
    <w:rPr>
      <w:rFonts w:cs="Times New Roman"/>
      <w:b/>
      <w:bCs/>
    </w:rPr>
  </w:style>
  <w:style w:type="character" w:styleId="Style14" w:customStyle="1">
    <w:name w:val="Нижний колонтитул Знак"/>
    <w:basedOn w:val="DefaultParagraphFont"/>
    <w:uiPriority w:val="99"/>
    <w:qFormat/>
    <w:rsid w:val="001278d3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 w:customStyle="1">
    <w:name w:val="Основной текст Знак"/>
    <w:basedOn w:val="DefaultParagraphFont"/>
    <w:qFormat/>
    <w:rsid w:val="001278d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Интернет-ссылка"/>
    <w:rsid w:val="001278d3"/>
    <w:rPr>
      <w:color w:val="000080"/>
      <w:u w:val="single"/>
    </w:rPr>
  </w:style>
  <w:style w:type="character" w:styleId="1" w:customStyle="1">
    <w:name w:val="Основной текст Знак1"/>
    <w:basedOn w:val="DefaultParagraphFont"/>
    <w:qFormat/>
    <w:rsid w:val="001278d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1" w:customStyle="1">
    <w:name w:val="Нижний колонтитул Знак1"/>
    <w:basedOn w:val="DefaultParagraphFont"/>
    <w:uiPriority w:val="99"/>
    <w:qFormat/>
    <w:rsid w:val="001278d3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7" w:customStyle="1">
    <w:name w:val="Заголовок"/>
    <w:basedOn w:val="Normal"/>
    <w:next w:val="Style18"/>
    <w:qFormat/>
    <w:rsid w:val="001278d3"/>
    <w:pPr>
      <w:keepNext w:val="true"/>
      <w:suppressAutoHyphens w:val="true"/>
      <w:spacing w:lineRule="auto" w:line="240" w:before="240" w:after="120"/>
    </w:pPr>
    <w:rPr>
      <w:rFonts w:ascii="PT Astra Serif" w:hAnsi="PT Astra Serif" w:eastAsia="Droid Sans Fallback" w:cs="Droid Sans Devanagari"/>
      <w:sz w:val="28"/>
      <w:szCs w:val="28"/>
      <w:lang w:eastAsia="ar-SA"/>
    </w:rPr>
  </w:style>
  <w:style w:type="paragraph" w:styleId="Style18">
    <w:name w:val="Body Text"/>
    <w:basedOn w:val="Normal"/>
    <w:link w:val="1"/>
    <w:rsid w:val="001278d3"/>
    <w:pPr>
      <w:suppressAutoHyphens w:val="true"/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Style19">
    <w:name w:val="List"/>
    <w:basedOn w:val="Style18"/>
    <w:rsid w:val="001278d3"/>
    <w:pPr/>
    <w:rPr>
      <w:rFonts w:ascii="PT Astra Serif" w:hAnsi="PT Astra Serif"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2" w:customStyle="1">
    <w:name w:val="Колонтитул"/>
    <w:basedOn w:val="Normal"/>
    <w:qFormat/>
    <w:rsid w:val="001278d3"/>
    <w:pPr>
      <w:suppressAutoHyphens w:val="true"/>
      <w:spacing w:lineRule="auto" w:line="240" w:before="0" w:after="0"/>
    </w:pPr>
    <w:rPr>
      <w:rFonts w:ascii="Times New Roman" w:hAnsi="Times New Roman" w:eastAsia="Times New Roman"/>
      <w:sz w:val="28"/>
      <w:szCs w:val="20"/>
      <w:lang w:eastAsia="ar-SA"/>
    </w:rPr>
  </w:style>
  <w:style w:type="paragraph" w:styleId="Style23">
    <w:name w:val="Header"/>
    <w:basedOn w:val="Normal"/>
    <w:link w:val="Style12"/>
    <w:uiPriority w:val="99"/>
    <w:unhideWhenUsed/>
    <w:rsid w:val="009f5b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12" w:customStyle="1">
    <w:name w:val="1 Знак"/>
    <w:basedOn w:val="Normal"/>
    <w:qFormat/>
    <w:rsid w:val="009f5bb1"/>
    <w:pPr>
      <w:spacing w:lineRule="exact" w:line="240"/>
    </w:pPr>
    <w:rPr>
      <w:rFonts w:ascii="Verdana" w:hAnsi="Verdana"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735dc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</w:rPr>
  </w:style>
  <w:style w:type="paragraph" w:styleId="ConsPlusCell" w:customStyle="1">
    <w:name w:val="ConsPlusCell"/>
    <w:uiPriority w:val="99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uiPriority w:val="99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aption">
    <w:name w:val="caption"/>
    <w:basedOn w:val="Normal"/>
    <w:qFormat/>
    <w:rsid w:val="001278d3"/>
    <w:pPr>
      <w:suppressLineNumbers/>
      <w:suppressAutoHyphens w:val="true"/>
      <w:spacing w:lineRule="auto" w:line="240" w:before="120" w:after="120"/>
    </w:pPr>
    <w:rPr>
      <w:rFonts w:ascii="PT Astra Serif" w:hAnsi="PT Astra Serif" w:eastAsia="Times New Roman" w:cs="Droid Sans Devanagari"/>
      <w:i/>
      <w:iCs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1278d3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1278d3"/>
    <w:pPr>
      <w:suppressLineNumbers/>
      <w:suppressAutoHyphens w:val="true"/>
      <w:spacing w:lineRule="auto" w:line="240" w:before="0" w:after="0"/>
    </w:pPr>
    <w:rPr>
      <w:rFonts w:ascii="PT Astra Serif" w:hAnsi="PT Astra Serif" w:eastAsia="Times New Roman" w:cs="Droid Sans Devanagari"/>
      <w:sz w:val="24"/>
      <w:szCs w:val="20"/>
      <w:lang w:eastAsia="ar-SA"/>
    </w:rPr>
  </w:style>
  <w:style w:type="paragraph" w:styleId="Style31" w:customStyle="1">
    <w:name w:val="Style3"/>
    <w:basedOn w:val="Normal"/>
    <w:qFormat/>
    <w:rsid w:val="001278d3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4">
    <w:name w:val="Footer"/>
    <w:basedOn w:val="Normal"/>
    <w:link w:val="11"/>
    <w:uiPriority w:val="99"/>
    <w:unhideWhenUsed/>
    <w:rsid w:val="001278d3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/>
      <w:sz w:val="28"/>
      <w:szCs w:val="20"/>
      <w:lang w:eastAsia="ar-SA"/>
    </w:rPr>
  </w:style>
  <w:style w:type="paragraph" w:styleId="Western" w:customStyle="1">
    <w:name w:val="western"/>
    <w:basedOn w:val="Normal"/>
    <w:qFormat/>
    <w:rsid w:val="001278d3"/>
    <w:pPr>
      <w:suppressAutoHyphens w:val="tru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1278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1278d3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1278d3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39"/>
    <w:rsid w:val="001278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2DEA-9827-4240-889F-B6519B63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Application>LibreOffice/7.3.7.2$Linux_X86_64 LibreOffice_project/30$Build-2</Application>
  <AppVersion>15.0000</AppVersion>
  <Pages>8</Pages>
  <Words>805</Words>
  <Characters>5381</Characters>
  <CharactersWithSpaces>6319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2018-01-16T09:36:00Z</dcterms:created>
  <dc:creator>Main</dc:creator>
  <dc:description/>
  <dc:language>ru-RU</dc:language>
  <cp:lastModifiedBy/>
  <cp:lastPrinted>2024-07-25T10:11:00Z</cp:lastPrinted>
  <dcterms:modified xsi:type="dcterms:W3CDTF">2024-08-19T13:08:33Z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