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42C77">
      <w:pPr>
        <w:suppressAutoHyphens w:val="0"/>
        <w:spacing w:line="192" w:lineRule="auto"/>
        <w:jc w:val="center"/>
      </w:pPr>
      <w:bookmarkStart w:id="0" w:name="_GoBack"/>
      <w:bookmarkEnd w:id="0"/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 w:rsidR="00000000" w:rsidRDefault="00142C77">
      <w:pPr>
        <w:suppressAutoHyphens w:val="0"/>
        <w:spacing w:line="192" w:lineRule="auto"/>
        <w:jc w:val="center"/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«ТЕРЕНЬГУЛЬСКИЙ РАЙОН»</w:t>
      </w:r>
    </w:p>
    <w:p w:rsidR="00000000" w:rsidRDefault="00142C77">
      <w:pPr>
        <w:suppressAutoHyphens w:val="0"/>
        <w:spacing w:line="192" w:lineRule="auto"/>
        <w:jc w:val="center"/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УЛЬЯНОВСКОЙ ОБЛАСТИ</w:t>
      </w:r>
    </w:p>
    <w:p w:rsidR="00000000" w:rsidRDefault="00142C77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000000" w:rsidRDefault="00142C77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000000" w:rsidRDefault="00142C77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000000" w:rsidRDefault="00142C77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000000" w:rsidRDefault="00142C77">
      <w:pPr>
        <w:suppressAutoHyphens w:val="0"/>
        <w:spacing w:line="276" w:lineRule="auto"/>
        <w:jc w:val="center"/>
      </w:pPr>
      <w:r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 w:rsidR="00000000" w:rsidRDefault="00142C77">
      <w:pPr>
        <w:suppressAutoHyphens w:val="0"/>
        <w:spacing w:line="276" w:lineRule="auto"/>
        <w:rPr>
          <w:rFonts w:ascii="PT Astra Serif" w:hAnsi="PT Astra Serif" w:cs="PT Astra Serif"/>
          <w:b/>
          <w:spacing w:val="144"/>
          <w:sz w:val="28"/>
          <w:szCs w:val="28"/>
          <w:lang w:eastAsia="en-US" w:bidi="en-US"/>
        </w:rPr>
      </w:pPr>
    </w:p>
    <w:p w:rsidR="00000000" w:rsidRDefault="00142C77">
      <w:pPr>
        <w:suppressAutoHyphens w:val="0"/>
        <w:spacing w:line="276" w:lineRule="auto"/>
      </w:pP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>11 марта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 xml:space="preserve"> 2024 г.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  <w:t xml:space="preserve">            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>№</w:t>
      </w:r>
      <w:r>
        <w:rPr>
          <w:rFonts w:ascii="PT Astra Serif" w:hAnsi="PT Astra Serif" w:cs="PT Astra Serif"/>
          <w:color w:val="000000"/>
          <w:lang w:eastAsia="en-US" w:bidi="en-US"/>
        </w:rPr>
        <w:t>121</w:t>
      </w:r>
    </w:p>
    <w:p w:rsidR="00000000" w:rsidRDefault="00142C77">
      <w:pPr>
        <w:suppressAutoHyphens w:val="0"/>
        <w:spacing w:line="276" w:lineRule="auto"/>
      </w:pP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  <w:t xml:space="preserve">          </w:t>
      </w:r>
      <w:r>
        <w:rPr>
          <w:rFonts w:ascii="PT Astra Serif" w:hAnsi="PT Astra Serif" w:cs="PT Astra Serif"/>
          <w:color w:val="000000"/>
          <w:lang w:eastAsia="en-US" w:bidi="en-US"/>
        </w:rPr>
        <w:tab/>
        <w:t>Экз. № ______</w:t>
      </w:r>
    </w:p>
    <w:p w:rsidR="00000000" w:rsidRDefault="00142C77">
      <w:pPr>
        <w:suppressAutoHyphens w:val="0"/>
        <w:spacing w:line="276" w:lineRule="auto"/>
      </w:pP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</w:p>
    <w:p w:rsidR="00000000" w:rsidRDefault="00142C77">
      <w:pPr>
        <w:suppressAutoHyphens w:val="0"/>
        <w:spacing w:line="276" w:lineRule="auto"/>
        <w:jc w:val="center"/>
      </w:pPr>
      <w:r>
        <w:rPr>
          <w:rFonts w:ascii="PT Astra Serif" w:hAnsi="PT Astra Serif" w:cs="PT Astra Serif"/>
          <w:color w:val="000000"/>
          <w:lang w:eastAsia="en-US" w:bidi="en-US"/>
        </w:rPr>
        <w:t>р.п. Тереньга</w:t>
      </w:r>
    </w:p>
    <w:p w:rsidR="00000000" w:rsidRDefault="00142C77">
      <w:pPr>
        <w:suppressAutoHyphens w:val="0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</w:p>
    <w:p w:rsidR="00000000" w:rsidRDefault="00142C77">
      <w:pPr>
        <w:suppressAutoHyphens w:val="0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>
        <w:tc>
          <w:tcPr>
            <w:tcW w:w="9640" w:type="dxa"/>
            <w:shd w:val="clear" w:color="auto" w:fill="auto"/>
          </w:tcPr>
          <w:p w:rsidR="00000000" w:rsidRDefault="00142C77">
            <w:pPr>
              <w:suppressAutoHyphens w:val="0"/>
              <w:spacing w:line="204" w:lineRule="auto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ии муниципального образования «Тереньгульский район» от 06 октября 2022 года №569</w:t>
            </w:r>
          </w:p>
        </w:tc>
      </w:tr>
    </w:tbl>
    <w:p w:rsidR="00000000" w:rsidRDefault="00142C77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00000" w:rsidRDefault="00142C77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00000" w:rsidRDefault="00142C77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00000" w:rsidRDefault="00142C77">
      <w:pPr>
        <w:pStyle w:val="af7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>Администрация муниципального образования «Тереньгульский район»             п о с т а н о в л я е т:</w:t>
      </w:r>
    </w:p>
    <w:p w:rsidR="00000000" w:rsidRDefault="00142C77">
      <w:pPr>
        <w:pStyle w:val="af7"/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>Внести в постановление администрации муниципального образования «Тере</w:t>
      </w:r>
      <w:r>
        <w:rPr>
          <w:rFonts w:ascii="PT Astra Serif" w:hAnsi="PT Astra Serif" w:cs="PT Astra Serif"/>
          <w:sz w:val="28"/>
          <w:szCs w:val="28"/>
          <w:lang w:eastAsia="en-US"/>
        </w:rPr>
        <w:t>ньгульский район» от 06.10.2022г. №569 «Об утверждении муниципальной  программы «Управление муниципальными финансами в муниципальном образовании «Тереньгульский район» следующие изменения:</w:t>
      </w:r>
    </w:p>
    <w:p w:rsidR="00000000" w:rsidRDefault="00142C77">
      <w:pPr>
        <w:pStyle w:val="af7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>1.1. Раздел «Ресурсное обеспечение муниципальной программы с разбив</w:t>
      </w:r>
      <w:r>
        <w:rPr>
          <w:rFonts w:ascii="PT Astra Serif" w:hAnsi="PT Astra Serif" w:cs="PT Astra Serif"/>
          <w:sz w:val="28"/>
          <w:szCs w:val="28"/>
          <w:lang w:eastAsia="en-US"/>
        </w:rPr>
        <w:t>кой по этапам и годам реализации» паспорта муниципальной программы изложить в следующей редакции:</w:t>
      </w:r>
    </w:p>
    <w:p w:rsidR="00000000" w:rsidRDefault="00142C77">
      <w:pPr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«Общий объем финансирования мероприятий муниципальной программы за счет средств бюджета муниципального образования «Тереньгульский район» составит – </w:t>
      </w:r>
      <w:r>
        <w:rPr>
          <w:rFonts w:ascii="PT Astra Serif" w:hAnsi="PT Astra Serif" w:cs="PT Astra Serif"/>
          <w:sz w:val="28"/>
          <w:szCs w:val="28"/>
        </w:rPr>
        <w:t>108687,43</w:t>
      </w:r>
      <w:r>
        <w:rPr>
          <w:rFonts w:ascii="PT Astra Serif" w:hAnsi="PT Astra Serif" w:cs="PT Astra Serif"/>
          <w:sz w:val="28"/>
          <w:szCs w:val="28"/>
        </w:rPr>
        <w:t xml:space="preserve"> тыс. рублей, в том числе по годам:</w:t>
      </w:r>
    </w:p>
    <w:p w:rsidR="00000000" w:rsidRDefault="00142C77">
      <w:pPr>
        <w:jc w:val="both"/>
      </w:pPr>
      <w:r>
        <w:rPr>
          <w:rFonts w:ascii="PT Astra Serif" w:hAnsi="PT Astra Serif" w:cs="PT Astra Serif"/>
          <w:sz w:val="28"/>
          <w:szCs w:val="28"/>
        </w:rPr>
        <w:t>2023 год  - 26279,345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>2024 год – 22288,955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>2025 год -  21962,855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>2026 год -  22079,355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>2027 год -  16076,920 тыс. рублей.</w:t>
      </w:r>
      <w:r>
        <w:rPr>
          <w:rFonts w:ascii="PT Astra Serif" w:hAnsi="PT Astra Serif" w:cs="PT Astra Serif"/>
          <w:sz w:val="28"/>
          <w:szCs w:val="28"/>
          <w:lang w:eastAsia="en-US"/>
        </w:rPr>
        <w:t>».</w:t>
      </w:r>
    </w:p>
    <w:p w:rsidR="00000000" w:rsidRDefault="00142C77">
      <w:pPr>
        <w:pStyle w:val="af7"/>
        <w:ind w:firstLine="567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>1.2. 22 абзац раздела 1 программы изложить в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следующей редакции:</w:t>
      </w:r>
    </w:p>
    <w:p w:rsidR="00000000" w:rsidRDefault="00142C77">
      <w:pPr>
        <w:tabs>
          <w:tab w:val="left" w:pos="362"/>
        </w:tabs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«Общий объем бюджетных ассигнований бюджета муниципального образования «Тереньгульский район» на финансовое обеспечение реализации мероприятия составляет </w:t>
      </w:r>
      <w:r>
        <w:rPr>
          <w:rFonts w:ascii="PT Astra Serif" w:hAnsi="PT Astra Serif" w:cs="PT Astra Serif"/>
          <w:sz w:val="28"/>
          <w:szCs w:val="28"/>
        </w:rPr>
        <w:t xml:space="preserve">33985,12 </w:t>
      </w:r>
      <w:r>
        <w:rPr>
          <w:rFonts w:ascii="PT Astra Serif" w:hAnsi="PT Astra Serif" w:cs="PT Astra Serif"/>
          <w:spacing w:val="-4"/>
          <w:sz w:val="28"/>
          <w:szCs w:val="28"/>
        </w:rPr>
        <w:t>тыс. рублей, в том числе по годам:</w:t>
      </w:r>
    </w:p>
    <w:p w:rsidR="00000000" w:rsidRDefault="00142C77">
      <w:pPr>
        <w:jc w:val="both"/>
      </w:pPr>
      <w:r>
        <w:rPr>
          <w:rFonts w:ascii="PT Astra Serif" w:hAnsi="PT Astra Serif" w:cs="PT Astra Serif"/>
          <w:sz w:val="28"/>
          <w:szCs w:val="28"/>
        </w:rPr>
        <w:t>2023 год  - 8326,3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2024 </w:t>
      </w:r>
      <w:r>
        <w:rPr>
          <w:rFonts w:ascii="PT Astra Serif" w:hAnsi="PT Astra Serif" w:cs="PT Astra Serif"/>
          <w:sz w:val="28"/>
          <w:szCs w:val="28"/>
        </w:rPr>
        <w:t>год – 5546,5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>2025 год – 5644,8 тыс. рублей;</w:t>
      </w:r>
    </w:p>
    <w:p w:rsidR="00000000" w:rsidRDefault="00142C77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>2026 год -  5834,3 тыс. рублей;</w:t>
      </w:r>
    </w:p>
    <w:p w:rsidR="00000000" w:rsidRDefault="00142C77">
      <w:pPr>
        <w:tabs>
          <w:tab w:val="left" w:pos="362"/>
        </w:tabs>
        <w:autoSpaceDE w:val="0"/>
        <w:jc w:val="both"/>
      </w:pPr>
      <w:r>
        <w:rPr>
          <w:rFonts w:ascii="PT Astra Serif" w:hAnsi="PT Astra Serif" w:cs="PT Astra Serif"/>
          <w:sz w:val="28"/>
          <w:szCs w:val="28"/>
        </w:rPr>
        <w:t>2027 год -  8633,22 тыс. рублей.</w:t>
      </w:r>
      <w:r>
        <w:rPr>
          <w:rFonts w:ascii="PT Astra Serif" w:hAnsi="PT Astra Serif" w:cs="PT Astra Serif"/>
          <w:sz w:val="28"/>
          <w:szCs w:val="28"/>
          <w:lang w:eastAsia="en-US"/>
        </w:rPr>
        <w:t>».</w:t>
      </w:r>
    </w:p>
    <w:p w:rsidR="00000000" w:rsidRDefault="00142C77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rFonts w:ascii="PT Astra Serif" w:hAnsi="PT Astra Serif" w:cs="PT Astra Serif"/>
          <w:spacing w:val="-4"/>
          <w:sz w:val="28"/>
          <w:szCs w:val="28"/>
          <w:lang w:eastAsia="ar-SA"/>
        </w:rPr>
        <w:t>1.3.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28 абзац раздела 1 программы изложить в следующей редакции: </w:t>
      </w:r>
    </w:p>
    <w:p w:rsidR="00000000" w:rsidRDefault="00142C77">
      <w:pPr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>«Общий объём бюджетных ассигнований бюджета муниципального образов</w:t>
      </w:r>
      <w:r>
        <w:rPr>
          <w:rFonts w:ascii="PT Astra Serif" w:hAnsi="PT Astra Serif" w:cs="PT Astra Serif"/>
          <w:sz w:val="28"/>
          <w:szCs w:val="28"/>
        </w:rPr>
        <w:t>ания «Тереньгульский район» на финансовое обеспечение реализации мероприятия составляет 74702,31 тыс. рублей, в том числе по годам:</w:t>
      </w:r>
    </w:p>
    <w:p w:rsidR="00000000" w:rsidRDefault="00142C77">
      <w:pPr>
        <w:tabs>
          <w:tab w:val="left" w:pos="362"/>
        </w:tabs>
        <w:autoSpaceDE w:val="0"/>
        <w:jc w:val="both"/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2023 год – </w:t>
      </w:r>
      <w:r>
        <w:rPr>
          <w:rFonts w:ascii="PT Astra Serif" w:hAnsi="PT Astra Serif" w:cs="PT Astra Serif"/>
          <w:sz w:val="28"/>
          <w:szCs w:val="28"/>
        </w:rPr>
        <w:t>17953,045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тыс. рублей;</w:t>
      </w:r>
    </w:p>
    <w:p w:rsidR="00000000" w:rsidRDefault="00142C77">
      <w:pPr>
        <w:tabs>
          <w:tab w:val="left" w:pos="362"/>
        </w:tabs>
        <w:autoSpaceDE w:val="0"/>
        <w:jc w:val="both"/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2024 год – </w:t>
      </w:r>
      <w:r>
        <w:rPr>
          <w:rFonts w:ascii="PT Astra Serif" w:hAnsi="PT Astra Serif" w:cs="PT Astra Serif"/>
          <w:sz w:val="28"/>
          <w:szCs w:val="28"/>
        </w:rPr>
        <w:t>16742,455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тыс. рублей;</w:t>
      </w:r>
    </w:p>
    <w:p w:rsidR="00000000" w:rsidRDefault="00142C77">
      <w:pPr>
        <w:tabs>
          <w:tab w:val="left" w:pos="362"/>
        </w:tabs>
        <w:autoSpaceDE w:val="0"/>
        <w:jc w:val="both"/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2025 год – </w:t>
      </w:r>
      <w:r>
        <w:rPr>
          <w:rFonts w:ascii="PT Astra Serif" w:hAnsi="PT Astra Serif" w:cs="PT Astra Serif"/>
          <w:sz w:val="28"/>
          <w:szCs w:val="28"/>
        </w:rPr>
        <w:t xml:space="preserve">16318,055 </w:t>
      </w:r>
      <w:r>
        <w:rPr>
          <w:rFonts w:ascii="PT Astra Serif" w:hAnsi="PT Astra Serif" w:cs="PT Astra Serif"/>
          <w:spacing w:val="-4"/>
          <w:sz w:val="28"/>
          <w:szCs w:val="28"/>
        </w:rPr>
        <w:t>тыс. рублей;</w:t>
      </w:r>
    </w:p>
    <w:p w:rsidR="00000000" w:rsidRDefault="00142C77">
      <w:pPr>
        <w:tabs>
          <w:tab w:val="left" w:pos="362"/>
        </w:tabs>
        <w:autoSpaceDE w:val="0"/>
        <w:jc w:val="both"/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2026 год – </w:t>
      </w:r>
      <w:r>
        <w:rPr>
          <w:rFonts w:ascii="PT Astra Serif" w:hAnsi="PT Astra Serif" w:cs="PT Astra Serif"/>
          <w:sz w:val="28"/>
          <w:szCs w:val="28"/>
        </w:rPr>
        <w:t xml:space="preserve">16245,055 </w:t>
      </w:r>
      <w:r>
        <w:rPr>
          <w:rFonts w:ascii="PT Astra Serif" w:hAnsi="PT Astra Serif" w:cs="PT Astra Serif"/>
          <w:spacing w:val="-4"/>
          <w:sz w:val="28"/>
          <w:szCs w:val="28"/>
        </w:rPr>
        <w:t>т</w:t>
      </w:r>
      <w:r>
        <w:rPr>
          <w:rFonts w:ascii="PT Astra Serif" w:hAnsi="PT Astra Serif" w:cs="PT Astra Serif"/>
          <w:spacing w:val="-4"/>
          <w:sz w:val="28"/>
          <w:szCs w:val="28"/>
        </w:rPr>
        <w:t>ыс. рублей;</w:t>
      </w:r>
    </w:p>
    <w:p w:rsidR="00000000" w:rsidRDefault="00142C77">
      <w:pPr>
        <w:autoSpaceDE w:val="0"/>
        <w:jc w:val="both"/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2027 год – </w:t>
      </w:r>
      <w:r>
        <w:rPr>
          <w:rFonts w:ascii="PT Astra Serif" w:hAnsi="PT Astra Serif" w:cs="PT Astra Serif"/>
          <w:sz w:val="28"/>
          <w:szCs w:val="28"/>
        </w:rPr>
        <w:t xml:space="preserve">7443,700 </w:t>
      </w:r>
      <w:r>
        <w:rPr>
          <w:rFonts w:ascii="PT Astra Serif" w:hAnsi="PT Astra Serif" w:cs="PT Astra Serif"/>
          <w:spacing w:val="-4"/>
          <w:sz w:val="28"/>
          <w:szCs w:val="28"/>
        </w:rPr>
        <w:t>тыс. рублей.</w:t>
      </w:r>
      <w:r>
        <w:rPr>
          <w:rFonts w:ascii="PT Astra Serif" w:hAnsi="PT Astra Serif" w:cs="PT Astra Serif"/>
          <w:sz w:val="28"/>
          <w:szCs w:val="28"/>
          <w:lang w:eastAsia="en-US"/>
        </w:rPr>
        <w:t>».</w:t>
      </w:r>
    </w:p>
    <w:p w:rsidR="00000000" w:rsidRDefault="00142C77">
      <w:pPr>
        <w:widowControl w:val="0"/>
        <w:tabs>
          <w:tab w:val="left" w:pos="362"/>
        </w:tabs>
        <w:autoSpaceDE w:val="0"/>
        <w:jc w:val="both"/>
      </w:pPr>
      <w:r>
        <w:rPr>
          <w:rFonts w:ascii="PT Astra Serif" w:hAnsi="PT Astra Serif" w:cs="PT Astra Serif"/>
          <w:spacing w:val="-4"/>
          <w:sz w:val="28"/>
          <w:szCs w:val="28"/>
          <w:lang w:eastAsia="ar-SA"/>
        </w:rPr>
        <w:t>1.4.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Приложение №2 к муниципальной программе изложить в следующей редакции: </w:t>
      </w: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pStyle w:val="af7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widowControl w:val="0"/>
        <w:ind w:left="10915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00000" w:rsidRDefault="00142C77">
      <w:pPr>
        <w:widowControl w:val="0"/>
        <w:jc w:val="center"/>
        <w:rPr>
          <w:rFonts w:ascii="PT Astra Serif" w:hAnsi="PT Astra Serif" w:cs="PT Astra Serif"/>
          <w:b/>
          <w:spacing w:val="-4"/>
          <w:sz w:val="28"/>
          <w:szCs w:val="28"/>
        </w:rPr>
      </w:pPr>
    </w:p>
    <w:p w:rsidR="00000000" w:rsidRDefault="00142C77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000000" w:rsidRDefault="00142C77">
      <w:pPr>
        <w:widowControl w:val="0"/>
        <w:spacing w:line="360" w:lineRule="auto"/>
        <w:ind w:left="9912" w:firstLine="708"/>
      </w:pPr>
      <w:r>
        <w:rPr>
          <w:rFonts w:ascii="PT Astra Serif" w:hAnsi="PT Astra Serif" w:cs="PT Astra Serif"/>
          <w:sz w:val="28"/>
          <w:szCs w:val="28"/>
        </w:rPr>
        <w:lastRenderedPageBreak/>
        <w:t>«Приложение № 2</w:t>
      </w:r>
    </w:p>
    <w:p w:rsidR="00000000" w:rsidRDefault="00142C77">
      <w:pPr>
        <w:shd w:val="clear" w:color="auto" w:fill="FFFFFF"/>
        <w:suppressAutoHyphens w:val="0"/>
        <w:ind w:left="10620"/>
      </w:pPr>
      <w:r>
        <w:rPr>
          <w:rFonts w:ascii="PT Astra Serif" w:hAnsi="PT Astra Serif" w:cs="PT Astra Serif"/>
          <w:kern w:val="2"/>
          <w:sz w:val="28"/>
          <w:szCs w:val="28"/>
        </w:rPr>
        <w:t>к муниципальной программе</w:t>
      </w:r>
    </w:p>
    <w:p w:rsidR="00000000" w:rsidRDefault="00142C77">
      <w:pPr>
        <w:shd w:val="clear" w:color="auto" w:fill="FFFFFF"/>
        <w:suppressAutoHyphens w:val="0"/>
        <w:ind w:left="10620"/>
      </w:pPr>
      <w:r>
        <w:rPr>
          <w:rFonts w:ascii="PT Astra Serif" w:hAnsi="PT Astra Serif" w:cs="PT Astra Serif"/>
          <w:kern w:val="2"/>
          <w:sz w:val="28"/>
          <w:szCs w:val="28"/>
        </w:rPr>
        <w:t>«Управление муниципальными финансами</w:t>
      </w:r>
    </w:p>
    <w:p w:rsidR="00000000" w:rsidRDefault="00142C77">
      <w:pPr>
        <w:shd w:val="clear" w:color="auto" w:fill="FFFFFF"/>
        <w:suppressAutoHyphens w:val="0"/>
        <w:ind w:left="10620"/>
      </w:pPr>
      <w:r>
        <w:rPr>
          <w:rFonts w:ascii="PT Astra Serif" w:hAnsi="PT Astra Serif" w:cs="PT Astra Serif"/>
          <w:kern w:val="2"/>
          <w:sz w:val="28"/>
          <w:szCs w:val="28"/>
        </w:rPr>
        <w:t xml:space="preserve">в муниципальном образовании </w:t>
      </w:r>
    </w:p>
    <w:p w:rsidR="00000000" w:rsidRDefault="00142C77">
      <w:pPr>
        <w:suppressAutoHyphens w:val="0"/>
        <w:ind w:left="10620" w:right="56"/>
      </w:pPr>
      <w:r>
        <w:rPr>
          <w:rFonts w:ascii="PT Astra Serif" w:hAnsi="PT Astra Serif" w:cs="PT Astra Serif"/>
          <w:kern w:val="2"/>
          <w:sz w:val="28"/>
          <w:szCs w:val="28"/>
        </w:rPr>
        <w:t>«Тереньгульский</w:t>
      </w:r>
      <w:r>
        <w:rPr>
          <w:rFonts w:ascii="PT Astra Serif" w:hAnsi="PT Astra Serif" w:cs="PT Astra Serif"/>
          <w:kern w:val="2"/>
          <w:sz w:val="28"/>
          <w:szCs w:val="28"/>
        </w:rPr>
        <w:t xml:space="preserve"> район»</w:t>
      </w:r>
    </w:p>
    <w:p w:rsidR="00000000" w:rsidRDefault="00142C77">
      <w:pPr>
        <w:suppressAutoHyphens w:val="0"/>
        <w:spacing w:line="326" w:lineRule="exact"/>
        <w:ind w:left="940"/>
        <w:jc w:val="right"/>
        <w:rPr>
          <w:rFonts w:ascii="PT Astra Serif" w:hAnsi="PT Astra Serif" w:cs="PT Astra Serif"/>
          <w:b/>
          <w:bCs/>
          <w:kern w:val="2"/>
          <w:sz w:val="28"/>
          <w:szCs w:val="28"/>
        </w:rPr>
      </w:pPr>
    </w:p>
    <w:p w:rsidR="00000000" w:rsidRDefault="00142C77">
      <w:pPr>
        <w:suppressAutoHyphens w:val="0"/>
        <w:spacing w:line="326" w:lineRule="exact"/>
        <w:ind w:left="940"/>
        <w:jc w:val="center"/>
      </w:pP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Система мероприятий</w:t>
      </w:r>
    </w:p>
    <w:p w:rsidR="00000000" w:rsidRDefault="00142C77">
      <w:pPr>
        <w:suppressAutoHyphens w:val="0"/>
        <w:spacing w:line="322" w:lineRule="exact"/>
        <w:ind w:left="120"/>
        <w:jc w:val="center"/>
      </w:pPr>
      <w:r>
        <w:rPr>
          <w:rFonts w:ascii="PT Astra Serif" w:eastAsia="PT Astra Serif" w:hAnsi="PT Astra Serif" w:cs="PT Astra Serif"/>
          <w:b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муниципальной программы муниципального образования  </w:t>
      </w:r>
    </w:p>
    <w:p w:rsidR="00000000" w:rsidRDefault="00142C77">
      <w:pPr>
        <w:jc w:val="center"/>
        <w:textAlignment w:val="baseline"/>
      </w:pPr>
      <w:r>
        <w:rPr>
          <w:rFonts w:ascii="PT Astra Serif" w:hAnsi="PT Astra Serif" w:cs="PT Astra Serif"/>
          <w:b/>
          <w:kern w:val="2"/>
          <w:sz w:val="28"/>
          <w:szCs w:val="28"/>
        </w:rPr>
        <w:t>«Тереньгульский район» Ульяновской обл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асти </w:t>
      </w:r>
    </w:p>
    <w:p w:rsidR="00000000" w:rsidRDefault="00142C77">
      <w:pPr>
        <w:jc w:val="center"/>
        <w:textAlignment w:val="baseline"/>
      </w:pP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«</w:t>
      </w:r>
      <w:r>
        <w:rPr>
          <w:rFonts w:ascii="PT Astra Serif" w:hAnsi="PT Astra Serif" w:cs="PT Astra Serif"/>
          <w:b/>
          <w:kern w:val="2"/>
          <w:sz w:val="28"/>
          <w:szCs w:val="28"/>
        </w:rPr>
        <w:t xml:space="preserve">Управление муниципальными финансами в муниципальном образовании </w:t>
      </w:r>
    </w:p>
    <w:p w:rsidR="00000000" w:rsidRDefault="00142C77">
      <w:pPr>
        <w:jc w:val="center"/>
        <w:textAlignment w:val="baseline"/>
      </w:pPr>
      <w:r>
        <w:rPr>
          <w:rFonts w:ascii="PT Astra Serif" w:hAnsi="PT Astra Serif" w:cs="PT Astra Serif"/>
          <w:b/>
          <w:kern w:val="2"/>
          <w:sz w:val="28"/>
          <w:szCs w:val="28"/>
        </w:rPr>
        <w:t>«Тереньгульский район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».</w:t>
      </w:r>
    </w:p>
    <w:p w:rsidR="00000000" w:rsidRDefault="00142C77">
      <w:pPr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</w:rPr>
      </w:pPr>
    </w:p>
    <w:tbl>
      <w:tblPr>
        <w:tblW w:w="0" w:type="auto"/>
        <w:tblInd w:w="-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701"/>
        <w:gridCol w:w="850"/>
        <w:gridCol w:w="851"/>
        <w:gridCol w:w="567"/>
        <w:gridCol w:w="709"/>
        <w:gridCol w:w="3543"/>
        <w:gridCol w:w="709"/>
        <w:gridCol w:w="850"/>
        <w:gridCol w:w="709"/>
        <w:gridCol w:w="709"/>
        <w:gridCol w:w="709"/>
        <w:gridCol w:w="850"/>
        <w:gridCol w:w="855"/>
      </w:tblGrid>
      <w:tr w:rsidR="0000000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N п/п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Наименование проекта, основного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мероприятия (мероприятия)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68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tabs>
                <w:tab w:val="left" w:pos="362"/>
              </w:tabs>
              <w:autoSpaceDE w:val="0"/>
              <w:ind w:firstLine="709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Объем финансового обеспечения реализации мероприятий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по годам, тыс. руб.</w:t>
            </w:r>
          </w:p>
        </w:tc>
      </w:tr>
      <w:tr w:rsidR="0000000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начала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окончания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2027 год</w:t>
            </w:r>
          </w:p>
        </w:tc>
      </w:tr>
      <w:tr w:rsidR="0000000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</w:tr>
      <w:tr w:rsidR="0000000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suppressAutoHyphens w:val="0"/>
              <w:spacing w:line="228" w:lineRule="auto"/>
              <w:jc w:val="both"/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Муниципальное учре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ждение Финансовый отдел муниципального образования «Тереньгульский район» Ульяновской области</w:t>
            </w:r>
          </w:p>
          <w:p w:rsidR="00000000" w:rsidRDefault="00142C77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(по согласованию)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01.01.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31.12.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Выполнение плановых назначений по налоговым и неналоговым доходам не менее 100 %.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Соблюдение сроков разработки проекта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решения Совета депутатов муниципального образования «Тереньгульский район» о бюджете муниципального образования «Тереньгульский район» и состава документов и материалов, предоставляемых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одновременно с ним, согласно требованиям, установленным бюджетным зак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онодательством.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Соблюдение сроков предоставления бюджетной отчётности в Министерство финансов Ульяновской области.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Соблюдение требований к предельному объему дефицита бюджета, установленных бюджетным законодательством Российской Федерации при планировании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и исполнении бюджета муниципального образования «Тереньгульский район».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Функционирование на официальном интернет-сайте Администрации муниципального образования «Тереньгульский район» раздела «Бюджет для граждан» (Открытый бюджет).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Размещение на официальном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интернет-сайте Администрации муниципального образования «Тереньгульский район» муниципальных правовых актов по вопросам организации бюджетного процесса, аналитических материалов о бюджете муниципального образования «Тереньгульский район» и его исполнении.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33985,12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8326,3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5546,5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5644,8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5834,3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8633,22</w:t>
            </w:r>
          </w:p>
        </w:tc>
      </w:tr>
      <w:tr w:rsidR="0000000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бюджетные ассигнования бюджета МО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33985,12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8326,3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5546,5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5644,8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5834,3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8633,22</w:t>
            </w:r>
          </w:p>
        </w:tc>
      </w:tr>
      <w:tr w:rsidR="0000000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suppressAutoHyphens w:val="0"/>
              <w:autoSpaceDE w:val="0"/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Муницип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альное учреждение Финансовый отдел муниципального образования «Тереньгульский район» Ульяновской области (по согласованию)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01.01.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31.12.</w:t>
            </w:r>
          </w:p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autoSpaceDE w:val="0"/>
              <w:ind w:firstLine="709"/>
              <w:jc w:val="both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межбюджетных трансфертов поселениям муниципального образования «Тереньгульский район» в полн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ом объёме от утверждённых плановых назначений</w:t>
            </w:r>
          </w:p>
          <w:p w:rsidR="00000000" w:rsidRDefault="00142C77">
            <w:pPr>
              <w:autoSpaceDE w:val="0"/>
              <w:ind w:firstLine="709"/>
              <w:jc w:val="both"/>
              <w:rPr>
                <w:rFonts w:ascii="PT Astra Serif" w:hAnsi="PT Astra Serif" w:cs="PT Astra Serif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74702,31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17953,045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16742,455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16318,055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16245,055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7443,700</w:t>
            </w:r>
          </w:p>
        </w:tc>
      </w:tr>
      <w:tr w:rsidR="0000000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бюджетные ассигнования бюджета МО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43644,29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11060,69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9121,9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8045,5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7972,5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7443,70</w:t>
            </w:r>
          </w:p>
        </w:tc>
      </w:tr>
      <w:tr w:rsidR="0000000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autoSpaceDE w:val="0"/>
              <w:jc w:val="center"/>
            </w:pPr>
            <w:r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  <w:t>бюджетные ассигнования бюджета У</w:t>
            </w:r>
            <w:r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  <w:t>льяновской области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31058,02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6892,355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7620,555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8272,555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8272,555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000000">
        <w:tc>
          <w:tcPr>
            <w:tcW w:w="1020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108687,43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26279,345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22288,955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21962,855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22079,355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16076,920</w:t>
            </w:r>
          </w:p>
        </w:tc>
      </w:tr>
      <w:tr w:rsidR="00000000">
        <w:tc>
          <w:tcPr>
            <w:tcW w:w="10207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Standard"/>
              <w:widowControl w:val="0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77629,41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19386,99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14668,4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13690,3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3806,8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16076,92</w:t>
            </w:r>
          </w:p>
        </w:tc>
      </w:tr>
      <w:tr w:rsidR="00000000">
        <w:tc>
          <w:tcPr>
            <w:tcW w:w="1020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142C77">
            <w:pPr>
              <w:autoSpaceDE w:val="0"/>
              <w:jc w:val="center"/>
            </w:pPr>
            <w:r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  <w:t>бюджетные ассигнования бюджета Ульяновской области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31058,02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6892,355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7620,555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8272,555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8272,555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42C77">
            <w:r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</w:tbl>
    <w:p w:rsidR="00000000" w:rsidRDefault="00142C77">
      <w:pPr>
        <w:widowControl w:val="0"/>
        <w:textAlignment w:val="baseline"/>
      </w:pPr>
      <w:r>
        <w:rPr>
          <w:rFonts w:ascii="PT Astra Serif" w:hAnsi="PT Astra Serif" w:cs="PT Astra Serif"/>
          <w:kern w:val="2"/>
          <w:sz w:val="22"/>
          <w:szCs w:val="22"/>
        </w:rPr>
        <w:t>».</w:t>
      </w:r>
    </w:p>
    <w:p w:rsidR="00000000" w:rsidRDefault="00142C77">
      <w:pPr>
        <w:widowControl w:val="0"/>
        <w:jc w:val="right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000000" w:rsidRDefault="00142C77">
      <w:pPr>
        <w:widowControl w:val="0"/>
        <w:jc w:val="right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000000" w:rsidRDefault="00142C77">
      <w:pPr>
        <w:widowControl w:val="0"/>
        <w:jc w:val="right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000000" w:rsidRDefault="00142C77">
      <w:p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134" w:bottom="765" w:left="1134" w:header="709" w:footer="709" w:gutter="0"/>
          <w:pgNumType w:start="1"/>
          <w:cols w:space="720"/>
          <w:titlePg/>
          <w:docGrid w:linePitch="326"/>
        </w:sectPr>
      </w:pPr>
    </w:p>
    <w:p w:rsidR="00000000" w:rsidRDefault="00142C77">
      <w:pPr>
        <w:pStyle w:val="Default"/>
        <w:ind w:firstLine="708"/>
        <w:jc w:val="both"/>
      </w:pPr>
      <w:r>
        <w:rPr>
          <w:rFonts w:ascii="PT Astra Serif" w:eastAsia="Times New Roman" w:hAnsi="PT Astra Serif" w:cs="PT Astra Serif"/>
          <w:sz w:val="28"/>
          <w:szCs w:val="28"/>
        </w:rPr>
        <w:lastRenderedPageBreak/>
        <w:t>2.  Настоящее постановление вступает в силу на следующий день после дня его опубликования в информационном бюллетене «Вестник рай</w:t>
      </w:r>
      <w:r>
        <w:rPr>
          <w:rFonts w:ascii="PT Astra Serif" w:eastAsia="Times New Roman" w:hAnsi="PT Astra Serif" w:cs="PT Astra Serif"/>
          <w:sz w:val="28"/>
          <w:szCs w:val="28"/>
        </w:rPr>
        <w:t>она».</w:t>
      </w:r>
    </w:p>
    <w:p w:rsidR="00000000" w:rsidRDefault="00142C77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142C77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142C77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00000" w:rsidRDefault="00142C77">
      <w:pPr>
        <w:pStyle w:val="ConsPlusNormal"/>
        <w:widowControl/>
        <w:tabs>
          <w:tab w:val="left" w:pos="7700"/>
        </w:tabs>
        <w:ind w:firstLine="0"/>
      </w:pPr>
      <w:r>
        <w:rPr>
          <w:rFonts w:ascii="PT Astra Serif" w:hAnsi="PT Astra Serif" w:cs="PT Astra Serif"/>
          <w:sz w:val="28"/>
          <w:szCs w:val="28"/>
        </w:rPr>
        <w:t xml:space="preserve">Глава администрации </w:t>
      </w:r>
    </w:p>
    <w:p w:rsidR="00000000" w:rsidRDefault="00142C77">
      <w:pPr>
        <w:pStyle w:val="ConsPlusNormal"/>
        <w:widowControl/>
        <w:tabs>
          <w:tab w:val="left" w:pos="7700"/>
        </w:tabs>
        <w:ind w:firstLine="0"/>
      </w:pP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:rsidR="00142C77" w:rsidRDefault="00142C77">
      <w:pPr>
        <w:pStyle w:val="ConsPlusNormal"/>
        <w:widowControl/>
        <w:tabs>
          <w:tab w:val="left" w:pos="7700"/>
        </w:tabs>
        <w:ind w:firstLine="0"/>
      </w:pPr>
      <w:r>
        <w:rPr>
          <w:rFonts w:ascii="PT Astra Serif" w:hAnsi="PT Astra Serif" w:cs="PT Astra Serif"/>
          <w:sz w:val="28"/>
          <w:szCs w:val="28"/>
        </w:rPr>
        <w:t>«Тереньгульский район»                                                                      Г.А.Шерстнев</w:t>
      </w:r>
    </w:p>
    <w:sectPr w:rsidR="00142C7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77" w:rsidRDefault="00142C77">
      <w:r>
        <w:separator/>
      </w:r>
    </w:p>
  </w:endnote>
  <w:endnote w:type="continuationSeparator" w:id="0">
    <w:p w:rsidR="00142C77" w:rsidRDefault="0014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1"/>
    </w:pPr>
    <w:r>
      <w:rPr>
        <w:rFonts w:ascii="PT Astra Serif" w:hAnsi="PT Astra Serif" w:cs="PT Astra Serif"/>
        <w:sz w:val="36"/>
        <w:szCs w:val="36"/>
        <w:lang w:val="ru-RU"/>
      </w:rPr>
      <w:t>0122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1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1"/>
      <w:jc w:val="right"/>
      <w:rPr>
        <w:sz w:val="16"/>
        <w:szCs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1"/>
      <w:rPr>
        <w:lang w:val="ru-RU"/>
      </w:rPr>
    </w:pPr>
  </w:p>
  <w:p w:rsidR="00000000" w:rsidRDefault="00142C77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77" w:rsidRDefault="00142C77">
      <w:r>
        <w:separator/>
      </w:r>
    </w:p>
  </w:footnote>
  <w:footnote w:type="continuationSeparator" w:id="0">
    <w:p w:rsidR="00142C77" w:rsidRDefault="0014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0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0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C7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PT Astra Serif" w:hAnsi="PT Astra Serif" w:cs="PT Astra Serif" w:hint="default"/>
        <w:sz w:val="28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PT Astra Serif" w:hAnsi="PT Astra Serif" w:cs="PT Astra Serif" w:hint="default"/>
        <w:sz w:val="28"/>
        <w:szCs w:val="28"/>
        <w:lang w:eastAsia="en-U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4A7"/>
    <w:rsid w:val="00142C77"/>
    <w:rsid w:val="008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PT Astra Serif" w:hAnsi="PT Astra Serif" w:cs="PT Astra Serif" w:hint="default"/>
      <w:sz w:val="28"/>
      <w:szCs w:val="28"/>
      <w:lang w:eastAsia="en-U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PT Astra Serif" w:hAnsi="PT Astra Serif" w:cs="PT Astra Serif" w:hint="default"/>
      <w:sz w:val="28"/>
      <w:szCs w:val="28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">
    <w:name w:val="Основной шрифт абзаца2"/>
  </w:style>
  <w:style w:type="character" w:customStyle="1" w:styleId="a3">
    <w:name w:val="Основной текст Знак"/>
    <w:rPr>
      <w:rFonts w:ascii="Times New Roman" w:hAnsi="Times New Roman" w:cs="Times New Roman"/>
      <w:sz w:val="24"/>
      <w:szCs w:val="24"/>
      <w:lang w:val="x-none" w:bidi="ar-SA"/>
    </w:rPr>
  </w:style>
  <w:style w:type="character" w:styleId="a4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x-none" w:bidi="ar-SA"/>
    </w:rPr>
  </w:style>
  <w:style w:type="character" w:customStyle="1" w:styleId="HTML1">
    <w:name w:val="Стандартный HTML Знак1"/>
    <w:rPr>
      <w:rFonts w:ascii="Courier New" w:hAnsi="Courier New" w:cs="Courier New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ижний колонтитул Знак1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6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11">
    <w:name w:val="Стиль1 Знак1"/>
    <w:rPr>
      <w:sz w:val="28"/>
      <w:lang w:val="x-none"/>
    </w:rPr>
  </w:style>
  <w:style w:type="character" w:customStyle="1" w:styleId="10">
    <w:name w:val="Основной шрифт абзаца1"/>
  </w:style>
  <w:style w:type="character" w:customStyle="1" w:styleId="a8">
    <w:name w:val="Основной текст_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pPr>
      <w:spacing w:after="120"/>
    </w:pPr>
    <w:rPr>
      <w:rFonts w:eastAsia="Calibri"/>
      <w:lang w:val="x-none"/>
    </w:r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Droid Sans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lang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d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customStyle="1" w:styleId="310">
    <w:name w:val="Основной текст 31"/>
    <w:basedOn w:val="a"/>
    <w:pPr>
      <w:spacing w:after="120"/>
    </w:pPr>
    <w:rPr>
      <w:rFonts w:eastAsia="Calibri"/>
      <w:sz w:val="16"/>
      <w:szCs w:val="16"/>
      <w:lang w:val="x-none"/>
    </w:rPr>
  </w:style>
  <w:style w:type="paragraph" w:styleId="af2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5">
    <w:name w:val="Знак Знак Знак Знак Знак"/>
    <w:basedOn w:val="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Стиль1"/>
    <w:basedOn w:val="aa"/>
    <w:pPr>
      <w:suppressAutoHyphens w:val="0"/>
      <w:spacing w:after="0"/>
      <w:jc w:val="both"/>
    </w:pPr>
    <w:rPr>
      <w:rFonts w:ascii="Calibri" w:hAnsi="Calibri" w:cs="Calibri"/>
      <w:sz w:val="28"/>
      <w:szCs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uppressAutoHyphens w:val="0"/>
      <w:spacing w:before="180" w:line="0" w:lineRule="atLeast"/>
      <w:jc w:val="both"/>
    </w:pPr>
    <w:rPr>
      <w:sz w:val="18"/>
      <w:szCs w:val="18"/>
      <w:lang w:val="x-none"/>
    </w:rPr>
  </w:style>
  <w:style w:type="paragraph" w:styleId="af7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customStyle="1" w:styleId="af8">
    <w:name w:val="Верхний колонтитул слева"/>
    <w:basedOn w:val="af0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lang w:eastAsia="zh-CN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USNCOMPUTERS</dc:creator>
  <cp:lastModifiedBy>Tabakov</cp:lastModifiedBy>
  <cp:revision>2</cp:revision>
  <cp:lastPrinted>2024-03-06T06:40:00Z</cp:lastPrinted>
  <dcterms:created xsi:type="dcterms:W3CDTF">2024-03-29T11:59:00Z</dcterms:created>
  <dcterms:modified xsi:type="dcterms:W3CDTF">2024-03-29T11:59:00Z</dcterms:modified>
</cp:coreProperties>
</file>