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АДМИНИСТРАЦИЯ  МУНИЦИПАЛЬНОГО 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«ТЕРЕНЬГУЛЬСКИЙ РАЙОН»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color w:val="auto"/>
          <w:sz w:val="36"/>
          <w:szCs w:val="36"/>
        </w:rPr>
        <w:t>П О С Т А Н О В Л Е Н И Е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36"/>
          <w:szCs w:val="36"/>
        </w:rPr>
      </w:pPr>
      <w:r>
        <w:rPr>
          <w:rFonts w:cs="Times New Roman" w:ascii="PT Astra Serif" w:hAnsi="PT Astra Serif"/>
          <w:color w:val="auto"/>
          <w:sz w:val="36"/>
          <w:szCs w:val="36"/>
        </w:rPr>
      </w:r>
    </w:p>
    <w:p>
      <w:pPr>
        <w:pStyle w:val="NoSpacing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27 февраля 2024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г.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 xml:space="preserve"> </w:t>
        <w:tab/>
        <w:tab/>
        <w:t xml:space="preserve"> № </w:t>
      </w:r>
      <w:r>
        <w:rPr>
          <w:rFonts w:eastAsia="Calibri" w:cs="Times New Roman" w:ascii="PT Astra Serif" w:hAnsi="PT Astra Serif"/>
          <w:color w:val="auto"/>
          <w:kern w:val="0"/>
          <w:sz w:val="24"/>
          <w:szCs w:val="24"/>
          <w:lang w:val="ru-RU" w:eastAsia="en-US" w:bidi="ar-SA"/>
        </w:rPr>
        <w:t>104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>Экз. №_____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р.п.Тереньга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«Тереньгульский район»  от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30.12.2021г.</w:t>
      </w: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 №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720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Администрация муниципального образования «Тереньгульский район»  п о с т а н о в л я е т: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30.12.2021г.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720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«Об утверждении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 следующие изменения: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 В паспорте муниципальной программы с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финансирования Программы составляет 1 992,13 тыс. рублей (в ценах соответствующих лет), в том числе по годам за счёт средств муниципального бюджета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: 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217,18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572,8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440,35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тыс.руб.;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388,80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373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тыс.рублей.»</w:t>
      </w:r>
    </w:p>
    <w:p>
      <w:pPr>
        <w:pStyle w:val="NoSpacing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ab/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 xml:space="preserve">2. В паспорте </w:t>
      </w:r>
      <w:r>
        <w:rPr>
          <w:rFonts w:eastAsia="Calibri" w:cs="Times New Roman" w:ascii="PT Astra Serif" w:hAnsi="PT Astra Serif" w:eastAsiaTheme="minorHAnsi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en-US" w:bidi="ar-SA"/>
        </w:rPr>
        <w:t xml:space="preserve">муниципальной подпрограммы </w:t>
      </w:r>
      <w:r>
        <w:rPr>
          <w:rFonts w:eastAsia="Calibri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en-US" w:bidi="ar-SA"/>
        </w:rPr>
        <w:t xml:space="preserve">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«Тереньгульский район» Ульяновской области»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 xml:space="preserve">строку </w:t>
      </w:r>
      <w:r>
        <w:rPr>
          <w:rFonts w:cs="Times New Roman" w:ascii="PT Astra Serif" w:hAnsi="PT Astra Serif"/>
          <w:color w:val="auto"/>
          <w:sz w:val="28"/>
          <w:szCs w:val="28"/>
        </w:rPr>
        <w:t>«Ресурсное обеспечение подпрограммы с разбивкой по годам реализации» 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>Общий объем бюджетных ассигнований бюджета муниципального образования «Тереньгульский район» на реализацию подпрограммы составляет 125,96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тыс.рублей, в том числе по годам: 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12,16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3,00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45,00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2025 год —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30,8</w:t>
      </w:r>
      <w:r>
        <w:rPr>
          <w:rFonts w:cs="PT Astra Serif" w:ascii="PT Astra Serif" w:hAnsi="PT Astra Serif"/>
          <w:color w:val="auto"/>
          <w:sz w:val="28"/>
          <w:szCs w:val="28"/>
        </w:rPr>
        <w:t>0 тыс.рублей;</w:t>
      </w:r>
    </w:p>
    <w:p>
      <w:pPr>
        <w:pStyle w:val="NoSpacing"/>
        <w:widowControl w:val="false"/>
        <w:spacing w:lineRule="auto" w:line="240" w:before="0" w:after="0"/>
        <w:jc w:val="both"/>
        <w:rPr>
          <w:highlight w:val="yellow"/>
        </w:rPr>
      </w:pPr>
      <w:r>
        <w:rPr>
          <w:rFonts w:eastAsia="Calibri" w:cs="PT Astra Serif" w:ascii="PT Astra Serif" w:hAnsi="PT Astra Serif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ab/>
        <w:t>2026 год — 35,00 тыс.рублей».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Times New Roman" w:ascii="PT Astra Serif" w:hAnsi="PT Astra Serif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ab/>
        <w:t xml:space="preserve">3. </w:t>
      </w:r>
      <w:r>
        <w:rPr>
          <w:rFonts w:cs="Times New Roman" w:ascii="PT Astra Serif" w:hAnsi="PT Astra Serif"/>
          <w:color w:val="auto"/>
          <w:sz w:val="28"/>
          <w:szCs w:val="28"/>
        </w:rPr>
        <w:t>В паспорте муниципальной подпрограмм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ы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 470,91 тыс.рублей, в том числе по годам: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64,00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85,56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125,35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98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98,00 тыс.рублей». 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4.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В паспорте муниципальной подпрограмм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ы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Увековечение памяти погибших при защите Отечества</w:t>
      </w:r>
      <w:r>
        <w:rPr>
          <w:rFonts w:cs="Times New Roman" w:ascii="PT Astra Serif" w:hAnsi="PT Astra Serif"/>
          <w:color w:val="auto"/>
          <w:sz w:val="28"/>
          <w:szCs w:val="28"/>
        </w:rPr>
        <w:t>»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строку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1 395,26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тыс.рублей, в том числе по годам: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141,02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484,24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270</w:t>
      </w:r>
      <w:r>
        <w:rPr>
          <w:rFonts w:cs="PT Astra Serif" w:ascii="PT Astra Serif" w:hAnsi="PT Astra Serif"/>
          <w:color w:val="auto"/>
          <w:sz w:val="28"/>
          <w:szCs w:val="28"/>
        </w:rPr>
        <w:t>,00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260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240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,00 тыс.рублей». 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535" w:right="683" w:header="0" w:top="1134" w:footer="1128" w:bottom="1678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5. 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Приложение 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145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2"/>
        <w:gridCol w:w="6467"/>
      </w:tblGrid>
      <w:tr>
        <w:trPr/>
        <w:tc>
          <w:tcPr>
            <w:tcW w:w="8102" w:type="dxa"/>
            <w:tcBorders/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7" w:type="dxa"/>
            <w:tcBorders/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3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СИСТЕМА МЕРОПРИЯТИЙ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муниципальной программы «Гражданское общество и национальная политика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на территории 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муниципального образования «Тереньгульский район» Ульяновской области  </w:t>
      </w:r>
    </w:p>
    <w:tbl>
      <w:tblPr>
        <w:tblW w:w="14682" w:type="dxa"/>
        <w:jc w:val="left"/>
        <w:tblInd w:w="-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71"/>
        <w:gridCol w:w="13"/>
        <w:gridCol w:w="2006"/>
        <w:gridCol w:w="1756"/>
        <w:gridCol w:w="628"/>
        <w:gridCol w:w="627"/>
        <w:gridCol w:w="558"/>
        <w:gridCol w:w="615"/>
        <w:gridCol w:w="12"/>
        <w:gridCol w:w="1982"/>
        <w:gridCol w:w="1364"/>
        <w:gridCol w:w="903"/>
        <w:gridCol w:w="693"/>
        <w:gridCol w:w="787"/>
        <w:gridCol w:w="803"/>
        <w:gridCol w:w="722"/>
        <w:gridCol w:w="742"/>
      </w:tblGrid>
      <w:tr>
        <w:trPr>
          <w:trHeight w:val="70" w:hRule="atLeast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проекта, основного мероприятия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Контрольное событие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Наименование</w:t>
              <w:br/>
              <w:t>целевого</w:t>
              <w:br/>
              <w:t>индикатора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Объём финансового обеспечения 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мероприятий по годам, тыс. руб.</w:t>
            </w:r>
          </w:p>
        </w:tc>
      </w:tr>
      <w:tr>
        <w:trPr>
          <w:trHeight w:val="349" w:hRule="atLeast"/>
        </w:trPr>
        <w:tc>
          <w:tcPr>
            <w:tcW w:w="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Нача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окон-чания</w:t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ind w:left="-12" w:hanging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Cs/>
                <w:iCs/>
                <w:color w:val="auto"/>
                <w:spacing w:val="-2"/>
                <w:sz w:val="20"/>
                <w:szCs w:val="20"/>
              </w:rPr>
              <w:t>Цель подпрограммы: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создание правовых, экономических и организационных условий для дальнейшего становления социально ориентированных некоммерческих организаций (далее – СО НКО), развития добровольческой (волонтёрской) деятельности и обеспечение их эффективного участия в социально-экономическом развитии Тереньгульского района</w:t>
            </w:r>
          </w:p>
        </w:tc>
      </w:tr>
      <w:tr>
        <w:trPr>
          <w:trHeight w:val="168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Cs/>
                <w:iCs/>
                <w:color w:val="auto"/>
              </w:rPr>
              <w:t>Задача подпрограммы: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color w:val="auto"/>
              </w:rPr>
              <w:t>развитие механизмов привлечения СО НКО к оказанию социальных услуг на конкурентной основе, а также конкурсного финансирования инновационных программ и проектов СО НКО;развитие инфраструктуры поддержки СО НКО, в том числе содействие привлечению СО НКО труда добровольцев;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color w:val="auto"/>
              </w:rPr>
              <w:t>обеспечение открытости информации о государственной поддержке СО НКО</w:t>
            </w:r>
          </w:p>
        </w:tc>
      </w:tr>
      <w:tr>
        <w:trPr>
          <w:trHeight w:val="296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«Осуществление  финансовой поддержки социально ориентированных программ (проектов), реализуемых СО НКО»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Ульяновской области (далее — Первый заместитель главы администрации района)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>Количество СО НКО, получивших субсидии из  бюджета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 Ульяновской области (далее – местный бюджет)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бюджета муниципального образования «Тереньгульский район» муниципального образования «Тереньгульский район»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60,00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</w:tr>
      <w:tr>
        <w:trPr>
          <w:trHeight w:val="70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Предоставление субсидий СО НКО из бюджета в целях финансового обеспечения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социально ориентированных программ (проектов)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60,00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«Проведение мероприятий, направленных на обеспечение 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мероприятий, проведённых органами местного самоуправления муниципальных образований Ульяновской области с участием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СО НКО, осуществляющих деятельность на территории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Ульяновской области, в отчётном году;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информационных материалов, опубликованных в пе-чатных средствах массовой информации, а также радио-, теле- и иных программ, вышедших в свет (в эфир), освещающих деятельность СО НКО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65,96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10,8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15,0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Организация и проведение мероприятий с участием некоммерческих общественных объединений ( в т.ч изготовление баннеров, приобретение цветов, подарков,  сувенирной продукции)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A9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53,8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3,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10,8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15,0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Осуществление комплекса мероприятий, направленных на развитие инфраструктуры поддержки деятельности СО НКО (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чествование активистов НКО)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Изготовление 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буклетов.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pacing w:val="-6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pacing w:val="-6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125,96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3</w:t>
            </w: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45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30,8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35,0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«Укрепление единства российской нации,  и этнокультурное развитие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Цель подпрограммы: укрепление 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Задача подпрограммы: гармонизация межнациональных отношений; 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«Тереньгульский район»; создание условий для адаптации и интеграции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, прибывающих на территорию муниципального образования «Тереньгульский район»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обеспечение равенства прав и свобод человека и гражданина независимо от расы, национальности, языка, происхождения, имущественного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формирование гражданского самосознания, патриотизма, гражданской ответственности, чувства гордости за историю России;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воспитание культуры межнационального общения, основанной на уважении чести и национального достоинства граждан,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традиционных российских духовно-нравственных ценностей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 «Обеспечение гражданской идентичности и этнокультурного развития народов России,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9,78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C9211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</w:tr>
      <w:tr>
        <w:trPr>
          <w:trHeight w:val="769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Изготовление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буклетов о народах, проживающих на территории муниципального образования «Тереньгульский район» Ульяновской области и их традициях и праздниках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8,28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4"/>
                <w:sz w:val="20"/>
                <w:szCs w:val="20"/>
              </w:rPr>
              <w:t>Подготовка и организация опубликования в печатных средствах массовой информации материалов по вопросам реализации государственной национальной политики и государственной политики в отношении российского казачества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A9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содействие гармонизации национальных и межнациональных (межэтнических) отношений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снижению уровня этнополитического и религиозно-политического экстремизма, ксенофобии и нетерпимости на территории муниципального образования «Тереньгульский район»  Ульяновской области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Доля граждан, подтверждающих отсутствие в свой адрес дискриминации по признакам национальности, языка, религии, в общем количестве опрошенных граждан Российской Федерации,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Организация распространения в СМИ социальной рекламы,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направленной на профилактику экстремизма,  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pacing w:val="-2"/>
                <w:sz w:val="20"/>
                <w:szCs w:val="20"/>
                <w:lang w:eastAsia="ru-RU"/>
              </w:rPr>
              <w:t>изготовление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Первый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10,0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3,0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успешная социальная и культурная адаптация иностранных граждан на территории муниципального образования «Тереньгульский район» Ульяновской области и их интеграция в российское общество</w:t>
            </w:r>
          </w:p>
        </w:tc>
      </w:tr>
      <w:tr>
        <w:trPr>
          <w:trHeight w:val="137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социальной и культурной адаптации иностранных граждан на территории муниципального образования «Тереньгульский район» Ульяновской области и их интеграции в российское общество</w:t>
            </w:r>
          </w:p>
        </w:tc>
      </w:tr>
      <w:tr>
        <w:trPr>
          <w:trHeight w:val="4635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«Социально-культурная адаптация и интеграция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иностранных граждан 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 территории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143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3,60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C9211E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Изготовление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буклетов, брошюр информационно-справочного характера для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, прибывающих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 территорию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Ульяновскую область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3,60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этнокультурного многообразия на территории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содействие этнокультурному и духовному развитию народов Российской Федерации, проживающих на территории муниципального образования «Тереньгульский район» Ульяновской области; обеспечение равноправия граждан и реализации их конституционных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 «Этнокультурное развитие народов,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>культуры,</w:t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b w:val="false"/>
                <w:b w:val="false"/>
                <w:bCs w:val="false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Администрация  </w:t>
            </w: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Численность участников мероприятий, проводимых на территории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 Ульяновской области, направленных на этнокультурное развитие народов России,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области, и направленных на укрепление общероссийского гражданского единства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436,61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53,70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85,56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117,35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90,0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90,0</w:t>
            </w:r>
          </w:p>
        </w:tc>
      </w:tr>
      <w:tr>
        <w:trPr>
          <w:trHeight w:val="1452" w:hRule="atLeast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Ульяновской области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культуры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116,0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16,0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30,0</w:t>
            </w:r>
          </w:p>
        </w:tc>
      </w:tr>
      <w:tr>
        <w:trPr>
          <w:trHeight w:val="1452" w:hRule="atLeast"/>
        </w:trPr>
        <w:tc>
          <w:tcPr>
            <w:tcW w:w="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20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bookmarkStart w:id="0" w:name="__DdeLink__8925_3438629665"/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  <w:bookmarkEnd w:id="0"/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320,61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37,7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75,56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87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,35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60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60,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языкового многообразия на территории муниципального образования «Тереньгульский район» Ульяновской области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сохранение и поддержка русского языка как государственного языка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 языков народов Российской Федерации, проживающих на территории муниципального образования «Тереньгульский район» Ульяновской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обеспечение права на сохранение родного языка из числа языков народов России, его изучение и развитие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«Русский язык и языки народов России»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области, направленных на сохранение и развитие русского языка и языков народов России, проживающих на территории Ульяновской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укрепление статуса русского языка как государственного языка Российской Федерации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0,0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традиционных российских духовно-нравственных ценностей как основы российского общества</w:t>
            </w:r>
          </w:p>
        </w:tc>
      </w:tr>
      <w:tr>
        <w:trPr>
          <w:trHeight w:val="496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развитию и консолидации российского казачества,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патриотических общественных объединений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посредством формирования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эффективных механизмов общественно-государственного партнёрства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мероприятие: «Российское казачество», патриотические общественные объединения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10,92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7,92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>
          <w:trHeight w:val="3557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взаимодействие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российского казачества и патриотических общественных объединений на территории Ульяновской области,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изготовление баннеров,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10,92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7,92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470,91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auto"/>
                <w:sz w:val="22"/>
                <w:szCs w:val="22"/>
                <w:lang w:eastAsia="ru-RU"/>
              </w:rPr>
              <w:t>64,00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85,56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auto"/>
                <w:sz w:val="22"/>
                <w:szCs w:val="22"/>
                <w:lang w:eastAsia="ru-RU"/>
              </w:rPr>
              <w:t>125,35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auto"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auto"/>
                <w:sz w:val="22"/>
                <w:szCs w:val="22"/>
                <w:lang w:eastAsia="ru-RU"/>
              </w:rPr>
              <w:t>98,0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Подпрограмма «Увековечение памяти погибших при защите Отечества»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Цель подпрограммы: увековечение памяти погибших при защите Отечества.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</w:tr>
      <w:tr>
        <w:trPr>
          <w:trHeight w:val="728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 xml:space="preserve">Задачи подпрограммы: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spacing w:val="-6"/>
                <w:kern w:val="0"/>
                <w:sz w:val="20"/>
                <w:szCs w:val="20"/>
                <w:lang w:val="ru-RU" w:eastAsia="ru-RU" w:bidi="ar-SA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  с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сражений;  организация проведения мероприятий по захоронению  и увековечению памяти военнослужащих, погибших при защите Отечества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благоустроенных  воинских захоронений, мемориальных сооружений и объектов, увековечивающих память погибших при защите Отечества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  <w:spacing w:val="-4"/>
                <w:sz w:val="20"/>
                <w:szCs w:val="20"/>
              </w:rPr>
            </w:pPr>
            <w:r>
              <w:rPr>
                <w:color w:val="auto"/>
                <w:spacing w:val="-4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6,02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6,02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,0</w:t>
            </w:r>
          </w:p>
        </w:tc>
      </w:tr>
      <w:tr>
        <w:trPr>
          <w:trHeight w:val="2612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 xml:space="preserve">Выполнение работ по содержанию в порядке и благоустройству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6,02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6,02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47" w:before="0" w:after="0"/>
              <w:jc w:val="both"/>
              <w:textAlignment w:val="baseline"/>
              <w:rPr>
                <w:color w:val="00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545,16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135,0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110,16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100,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100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Оказание транспортных услуг по  доставке  поисковых  отрядов  на места исторических боевых сражений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545,16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135,0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110,16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100,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100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Основное мероприятие «Организация проведения мероприятий по захоронению  и увековечению памяти военнослужащих, погибших при защите Отечества»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Количество 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мероприятий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 по  захоронению мобилизованных, погибших при защите Отечества»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844,08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374,08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170,0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160,0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140,0</w:t>
            </w:r>
          </w:p>
        </w:tc>
      </w:tr>
      <w:tr>
        <w:trPr/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 w:ascii="PT Astra Serif" w:hAnsi="PT Astra Serif"/>
                <w:i w:val="false"/>
                <w:iCs w:val="false"/>
                <w:color w:val="auto"/>
                <w:spacing w:val="-4"/>
                <w:kern w:val="0"/>
                <w:sz w:val="20"/>
                <w:szCs w:val="20"/>
                <w:u w:val="none"/>
                <w:lang w:val="ru-RU" w:eastAsia="zh-CN" w:bidi="ar-SA"/>
              </w:rPr>
              <w:t>Проведение  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bookmarkStart w:id="1" w:name="__DdeLink__1854_2376598411"/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  <w:bookmarkEnd w:id="1"/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724,23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294,23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150,0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150,0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130,0</w:t>
            </w:r>
          </w:p>
        </w:tc>
      </w:tr>
      <w:tr>
        <w:trPr/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 w:cstheme="minorBidi"/>
                <w:color w:val="00000A"/>
                <w:kern w:val="0"/>
                <w:sz w:val="20"/>
                <w:szCs w:val="20"/>
                <w:highlight w:val="yellow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/>
                <w:color w:val="auto"/>
                <w:kern w:val="0"/>
                <w:sz w:val="20"/>
                <w:szCs w:val="20"/>
                <w:lang w:val="ru-RU" w:eastAsia="en-US" w:bidi="ar-SA"/>
              </w:rPr>
              <w:t>Приобретение траурной атрибутики (венки, ленты, цветы, корзины),  памятных табличек и т. п. для проведения мероприятий  по захоронению и увековечению памяти погибших  военнослужащих.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119,85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79,85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20,0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10,0</w:t>
            </w:r>
          </w:p>
        </w:tc>
      </w:tr>
      <w:tr>
        <w:trPr>
          <w:trHeight w:val="123" w:hRule="atLeast"/>
        </w:trPr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  <w:lang w:eastAsia="ru-RU"/>
              </w:rPr>
              <w:t>Итого по подпрограмме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right="-117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1 395,26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</w:rPr>
              <w:t>141,02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484,24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270,0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260,0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240,0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  <w:lang w:eastAsia="ru-RU"/>
              </w:rPr>
              <w:t>ВСЕГО по муниципальной  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1 992,13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</w:rPr>
              <w:t>2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17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</w:rPr>
              <w:t>,18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2"/>
                <w:szCs w:val="22"/>
              </w:rPr>
              <w:t>5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72,8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440,35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388,8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bCs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373,0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sectPr>
          <w:footerReference w:type="even" r:id="rId4"/>
          <w:footerReference w:type="default" r:id="rId5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ab/>
        <w:tab/>
        <w:tab/>
        <w:tab/>
        <w:tab/>
        <w:tab/>
        <w:t>Г.А.Шерстнев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footerReference w:type="even" r:id="rId6"/>
      <w:footerReference w:type="default" r:id="rId7"/>
      <w:type w:val="nextPage"/>
      <w:pgSz w:w="11906" w:h="16838"/>
      <w:pgMar w:left="1535" w:right="683" w:header="0" w:top="1134" w:footer="1128" w:bottom="167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rPr/>
    </w:pPr>
    <w:r>
      <w:rPr>
        <w:rFonts w:ascii="PT Astra Serif" w:hAnsi="PT Astra Serif"/>
        <w:sz w:val="36"/>
        <w:szCs w:val="31"/>
      </w:rPr>
      <w:t>0</w:t>
    </w:r>
    <w:r>
      <w:rPr>
        <w:rFonts w:eastAsia="Calibri" w:cs="" w:ascii="PT Astra Serif" w:hAnsi="PT Astra Serif" w:cstheme="minorBidi" w:eastAsiaTheme="minorHAnsi"/>
        <w:color w:val="00000A"/>
        <w:kern w:val="0"/>
        <w:sz w:val="36"/>
        <w:szCs w:val="31"/>
        <w:lang w:val="ru-RU" w:eastAsia="en-US" w:bidi="ar-SA"/>
      </w:rPr>
      <w:t>109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spacing w:before="0" w:after="20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settings.xml><?xml version="1.0" encoding="utf-8"?>
<w:settings xmlns:w="http://schemas.openxmlformats.org/wordprocessingml/2006/main">
  <w:zoom w:percent="85"/>
  <w:mirrorMargins/>
  <w:defaultTabStop w:val="709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899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c2752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CellTimesNewRoman">
    <w:name w:val="ConsPlusCell + Times New Roman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Spacing1">
    <w:name w:val="No Spacing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Bodytext">
    <w:name w:val="Body text"/>
    <w:basedOn w:val="Normal"/>
    <w:qFormat/>
    <w:pPr>
      <w:shd w:val="clear" w:fill="FFFFFF"/>
      <w:suppressAutoHyphens w:val="false"/>
      <w:spacing w:lineRule="exact" w:line="326" w:before="24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Style25">
    <w:name w:val="Title"/>
    <w:basedOn w:val="Normal"/>
    <w:next w:val="Style16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Application>LibreOffice/7.0.6.2$Linux_X86_64 LibreOffice_project/00$Build-2</Application>
  <AppVersion>15.0000</AppVersion>
  <DocSecurity>0</DocSecurity>
  <Pages>31</Pages>
  <Words>630</Words>
  <Characters>4545</Characters>
  <CharactersWithSpaces>5000</CharactersWithSpaces>
  <Paragraphs>220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2019-01-22T17:35:00Z</dcterms:created>
  <dc:creator>Admin</dc:creator>
  <dc:description/>
  <dc:language>ru-RU</dc:language>
  <cp:lastModifiedBy/>
  <cp:lastPrinted>2024-02-26T14:15:50Z</cp:lastPrinted>
  <dcterms:modified xsi:type="dcterms:W3CDTF">2024-02-29T10:58:49Z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