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margin" w:leftFromText="180" w:rightFromText="180" w:tblpX="0" w:tblpY="-37"/>
        <w:tblW w:w="41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139"/>
      </w:tblGrid>
      <w:tr>
        <w:trPr>
          <w:trHeight w:val="1928" w:hRule="atLeast"/>
        </w:trPr>
        <w:tc>
          <w:tcPr>
            <w:tcW w:w="4139" w:type="dxa"/>
            <w:tcBorders/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Муниципальное учреждение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Отдел образования муниципального образования «Тереньгульский район»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Ульяновской области</w:t>
            </w:r>
          </w:p>
          <w:p>
            <w:pPr>
              <w:pStyle w:val="NoSpacing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cs="Times New Roman" w:ascii="PT Astra Serif" w:hAnsi="PT Astra Serif"/>
                <w:sz w:val="16"/>
                <w:szCs w:val="16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sz w:val="16"/>
                <w:szCs w:val="16"/>
              </w:rPr>
              <w:t>433360, Ульяновская обл., Тереньгульский район,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sz w:val="16"/>
                <w:szCs w:val="16"/>
              </w:rPr>
              <w:t>р.п. Тереньга, ул.Фадеева, д.4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sz w:val="16"/>
                <w:szCs w:val="16"/>
              </w:rPr>
              <w:t>Тел. 8 (84234)-21-8-40, Тел./факс 8 (84234) – 22-4-61</w:t>
            </w:r>
          </w:p>
          <w:p>
            <w:pPr>
              <w:pStyle w:val="NoSpacing"/>
              <w:tabs>
                <w:tab w:val="clear" w:pos="708"/>
                <w:tab w:val="left" w:pos="1935" w:leader="none"/>
              </w:tabs>
              <w:jc w:val="center"/>
              <w:rPr/>
            </w:pPr>
            <w:r>
              <w:rPr>
                <w:rFonts w:cs="Times New Roman" w:ascii="PT Astra Serif" w:hAnsi="PT Astra Serif"/>
                <w:sz w:val="16"/>
                <w:szCs w:val="16"/>
                <w:lang w:val="pt-BR"/>
              </w:rPr>
              <w:t xml:space="preserve">e-mail: </w:t>
            </w:r>
            <w:hyperlink r:id="rId2">
              <w:r>
                <w:rPr>
                  <w:rStyle w:val="Style"/>
                  <w:rFonts w:cs="Times New Roman" w:ascii="PT Astra Serif" w:hAnsi="PT Astra Serif"/>
                  <w:color w:val="0000FF"/>
                  <w:sz w:val="16"/>
                  <w:szCs w:val="16"/>
                  <w:u w:val="single"/>
                  <w:lang w:val="en-US"/>
                </w:rPr>
                <w:t>ter_roo</w:t>
              </w:r>
              <w:r>
                <w:rPr>
                  <w:rStyle w:val="Style"/>
                  <w:rFonts w:cs="Times New Roman" w:ascii="PT Astra Serif" w:hAnsi="PT Astra Serif"/>
                  <w:color w:val="0000FF"/>
                  <w:sz w:val="16"/>
                  <w:szCs w:val="16"/>
                  <w:u w:val="single"/>
                  <w:lang w:val="pt-BR"/>
                </w:rPr>
                <w:t>@mail.ru</w:t>
              </w:r>
            </w:hyperlink>
          </w:p>
          <w:p>
            <w:pPr>
              <w:pStyle w:val="NoSpacing"/>
              <w:jc w:val="center"/>
              <w:rPr>
                <w:rFonts w:ascii="PT Astra Serif" w:hAnsi="PT Astra Serif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PT Astra Serif" w:hAnsi="PT Astra Serif"/>
                <w:sz w:val="16"/>
                <w:szCs w:val="16"/>
                <w:lang w:val="en-US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PT Astra Serif" w:hAnsi="PT Astra Serif"/>
                <w:sz w:val="16"/>
                <w:szCs w:val="16"/>
              </w:rPr>
              <w:t xml:space="preserve">№ </w:t>
            </w:r>
            <w:r>
              <w:rPr>
                <w:rFonts w:cs="Times New Roman" w:ascii="PT Astra Serif" w:hAnsi="PT Astra Serif"/>
                <w:sz w:val="16"/>
                <w:szCs w:val="16"/>
              </w:rPr>
              <w:t>360               от  «24»     03       2023 г.</w:t>
            </w:r>
          </w:p>
        </w:tc>
      </w:tr>
    </w:tbl>
    <w:p>
      <w:pPr>
        <w:pStyle w:val="NormalWeb"/>
        <w:spacing w:lineRule="atLeast" w:line="330" w:beforeAutospacing="0" w:before="0" w:afterAutospacing="0" w:after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       </w:t>
      </w:r>
      <w:r>
        <w:rPr>
          <w:rFonts w:ascii="PT Astra Serif" w:hAnsi="PT Astra Serif"/>
          <w:b/>
          <w:color w:val="000000"/>
          <w:sz w:val="28"/>
          <w:szCs w:val="28"/>
        </w:rPr>
        <w:t>Администрация</w:t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МО «Тереньгульский район»</w:t>
      </w:r>
    </w:p>
    <w:p>
      <w:pPr>
        <w:pStyle w:val="NormalWeb"/>
        <w:spacing w:lineRule="atLeast" w:line="330" w:beforeAutospacing="0" w:before="0" w:afterAutospacing="0" w:after="0"/>
        <w:jc w:val="center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</w:r>
    </w:p>
    <w:p>
      <w:pPr>
        <w:pStyle w:val="NormalWeb"/>
        <w:spacing w:lineRule="atLeast" w:line="330" w:beforeAutospacing="0" w:before="0" w:afterAutospacing="0" w:after="0"/>
        <w:jc w:val="center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</w:r>
    </w:p>
    <w:p>
      <w:pPr>
        <w:pStyle w:val="Normal"/>
        <w:keepNext w:val="true"/>
        <w:keepLines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rmal"/>
        <w:ind w:left="-567" w:hanging="0"/>
        <w:jc w:val="both"/>
        <w:rPr/>
      </w:pPr>
      <w:r>
        <w:rPr>
          <w:rFonts w:eastAsia="Calibri" w:ascii="PT Astra Serif" w:hAnsi="PT Astra Serif"/>
          <w:sz w:val="28"/>
          <w:szCs w:val="28"/>
        </w:rPr>
        <w:t xml:space="preserve">            </w:t>
      </w:r>
    </w:p>
    <w:p>
      <w:pPr>
        <w:pStyle w:val="Normal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  <w:tab/>
        <w:t xml:space="preserve">Муниципальное учреждение Отдел образования муниципального образования «Тереньгульский район» </w:t>
      </w:r>
      <w:r>
        <w:rPr>
          <w:rFonts w:eastAsia="Calibri" w:ascii="PT Astra Serif" w:hAnsi="PT Astra Serif"/>
          <w:sz w:val="28"/>
          <w:szCs w:val="28"/>
          <w:lang w:eastAsia="zh-CN"/>
        </w:rPr>
        <w:t xml:space="preserve">   предоставляет  </w:t>
      </w:r>
      <w:r>
        <w:rPr>
          <w:rFonts w:ascii="PT Astra Serif" w:hAnsi="PT Astra Serif"/>
          <w:sz w:val="28"/>
          <w:szCs w:val="28"/>
        </w:rPr>
        <w:t xml:space="preserve">информацию </w:t>
      </w:r>
      <w:r>
        <w:rPr>
          <w:rFonts w:cs="Times New Roman" w:ascii="PT Astra Serif" w:hAnsi="PT Astra Serif"/>
          <w:sz w:val="28"/>
          <w:szCs w:val="28"/>
        </w:rPr>
        <w:t>на заседание Совета национальностей при главе администрации муниципального образования «Тереньгульский район», которое состоится 27</w:t>
      </w:r>
      <w:bookmarkStart w:id="0" w:name="_GoBack"/>
      <w:bookmarkEnd w:id="0"/>
      <w:r>
        <w:rPr>
          <w:rFonts w:cs="Times New Roman" w:ascii="PT Astra Serif" w:hAnsi="PT Astra Serif"/>
          <w:sz w:val="28"/>
          <w:szCs w:val="28"/>
        </w:rPr>
        <w:t xml:space="preserve"> марта   2023 года.</w:t>
      </w:r>
    </w:p>
    <w:p>
      <w:pPr>
        <w:pStyle w:val="Normal"/>
        <w:keepNext w:val="true"/>
        <w:keepLines/>
        <w:ind w:left="-567" w:hanging="0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3.О состоянии преступности в молодёжной среде и проводимой работе по профилактике экстремизма в молодёжной среде.</w:t>
      </w:r>
    </w:p>
    <w:p>
      <w:pPr>
        <w:pStyle w:val="NoSpacing"/>
        <w:ind w:left="-567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eastAsia="Calibri" w:cs="font302"/>
          <w:kern w:val="2"/>
        </w:rPr>
        <w:t xml:space="preserve">       </w:t>
      </w:r>
      <w:r>
        <w:rPr>
          <w:rFonts w:ascii="PT Astra Serif" w:hAnsi="PT Astra Serif"/>
          <w:sz w:val="28"/>
          <w:szCs w:val="28"/>
          <w:lang w:eastAsia="ru-RU"/>
        </w:rPr>
        <w:t>В образовательных организациях в течении учебного года проводятся классные часы, беседы, викторины, спортивные мероприятия, направленные на воспитание патриотизма, культуры поведения, межнациональной дружбы, а так же обучение навыкам бесконфликтного общения. В течение 2022-2023 учебного года проведено 293 мероприятия с охватом 1348 обучающихся.</w:t>
      </w:r>
    </w:p>
    <w:p>
      <w:pPr>
        <w:pStyle w:val="NoSpacing"/>
        <w:ind w:left="-567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</w:t>
      </w:r>
      <w:r>
        <w:rPr>
          <w:rFonts w:ascii="PT Astra Serif" w:hAnsi="PT Astra Serif"/>
          <w:sz w:val="28"/>
          <w:szCs w:val="28"/>
          <w:lang w:eastAsia="ru-RU"/>
        </w:rPr>
        <w:t>В учебные планы общеобразовательных организаций муниципального образования «Тереньгульский район», в основные образовательные программы включены учебные предметы «ОРКСЭ», «ОДНКНР», «Обществознание», содержание которых направлено, в том числе, и  на воспитание духовно – нравственных ценностей, культуры межнационального общения, формирование гражданской ответственности и патриотизма. На уроках истории, литературы и русского языка рассматриваются  исторические сведения, факты о деятельности экстремистских организаций и их угрозе для безопасности России, происходит расширение и углублений знаний обучающихся об угрозе экстремизма для личности, общества, государства.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PT Astra Serif" w:hAnsi="PT Astra Serif" w:eastAsia="Calibri" w:cs="font302"/>
          <w:kern w:val="2"/>
          <w:sz w:val="28"/>
          <w:szCs w:val="28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       </w:t>
      </w: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В течение 2022-2023 учебного  года в  общеобразовательных организациях муниципального образования «Тереньгульский район» систематически проводились мероприятия, направленные на  формирование у несовершеннолетних здорового образа жизни, активного досуга, профилактику правонарушений, алкоголизма, наркомании, употребление табака, а также профилактику терроризма и  экстремизма несовершеннолетних. В воспитательных планах классных руководителей данное направление отражено через организацию внеклассных мероприятий, привлечение учащихся в различные кружки и секции. Большое внимание уделяется практическим занятиям с оказанием психологической поддержки, по необходимости индивидуальной помощи.       </w:t>
        <w:tab/>
        <w:t xml:space="preserve">С несовершеннолетними проводились такие мероприятия как: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- классные часы по темам: «Доброта и человечность», «Улыбка. В чем ее секрет», «Учимся понимать переживания родных и близких нам людей», «Телефонный разговор»; «Сказка о смысле и цене жизни»; «Дружба – главное чудо», «Любовью дорожить умейте», «Поговорим еще раз о любви», «Дети и родители. Давайте понимать друг друга», «В чем смысл жизни» «Вредные привычки. Сигарете – нет», «За здоровый образ жизни», «Предупреждение вредных привычек у подростков», «Ты попал в беду», «Сумей сказать НЕТ!» и другие;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- психокоррекционные занятия по темам: «Учимся справляться с обидой»; «Я ушел в свою обиду»; «Трудные ситуации могут научить меня»; «Я могу собой гордиться»; «Спор не ссора»;  «Что сделать с гневом»; «Мысли, чувства, поведение»; «Мои права»; «Что такое толерантность»; «Наши эмоции»;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>- акции «За ЗОЖ», тематические выставки литературы, конкурсы рисунков и плакатов, индивидуально-профилактические беседы с учащимися «группы риска».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         </w:t>
      </w: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Под  особым вниманием находятся учащиеся, состоящие на всех видах учета.  В план воспитательной работы школ внесены темы мероприятий посвященных жизненным ценностям: темы о здоровом образе жизни, дружбе, добре, взаимопонимании. В работе с семьей используются разнообразные формы деятельности: родительские собрания, лектории, консультации и занятия с рассмотрением вопросов детско-родительских отношений, проблем и условий семейного воспитания, межличностных отношений со сверстниками и взаимоотношений полов, профилактики семейных конфликтов.       Классные руководители общеобразовательных организаций   посещают семьи обучающихся с целью изучения условий жизни и воспитания в семье, консультирования родителей по выявленным проблемам. С родителями проводятся беседы на темы:  «Отклоняющееся поведение у подростков», «Как уберечь детей от влияния социальных сетей, интернет групп, склоняющих к суицидам», «Роль семьи в профилактике суицидального поведения у детей», родительские лектории по темам: «Что такое суицид и как с ним бороться»; «Условия успешного семейного воспитания младшего школьника»; «Куда уходят дети: профилактика безнадзорности и бродяжничества»; «Трудный возраст или советы родителям»; «Чем и как увлекаются наши дети».   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color w:val="000000"/>
          <w:kern w:val="2"/>
          <w:sz w:val="28"/>
          <w:szCs w:val="28"/>
        </w:rPr>
        <w:t xml:space="preserve">     </w:t>
      </w:r>
      <w:r>
        <w:rPr>
          <w:rFonts w:eastAsia="Calibri" w:cs="font302" w:ascii="PT Astra Serif" w:hAnsi="PT Astra Serif"/>
          <w:color w:val="000000"/>
          <w:kern w:val="2"/>
          <w:sz w:val="28"/>
          <w:szCs w:val="28"/>
        </w:rPr>
        <w:t>Социальные педагоги, классные руководители проводят беседы на правовую тематику, принимают участие в обследовании жилищно-бытовых условий семей обучающихся, изучают их особенности, склонности, интересы. Систематически проводят обследования по выявлению детей «группы риска».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         </w:t>
      </w: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В общеобразовательных организациях МО «Тереньгульский район» с 2016 года функционирует служба школьной медиации (служба примирения), которая содействует профилактике и социальной реабилитации участников конфликтных и криминальных ситуаций на основе принципов восстановительного правосудия. Служба на добровольной основе объединяет детей-волонтеров с целью привлечения к активному участию в примиренческой деятельности, поддержания права детской инициативы, активной жизненной позиции, создания условий для выработки в партнерском взаимодействии навыков ведения конструктивного диалога.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>       </w:t>
      </w: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Также несовершеннолетним оказывается социально-психологическая и педагогическая помощь в рамках индивидуальных бесед педагогами-психологами, социальными педагогами, классными руководителями. В течение учебного года проводятся классные часы, беседы, викторины, спортивные мероприятия, направленные на воспитание патриотизма, культуры поведения, межнациональной дружбы, а так же обучение навыкам бесконфликтного общения. </w:t>
      </w:r>
      <w:r>
        <w:rPr>
          <w:rFonts w:eastAsia="Calibri" w:cs="font302"/>
          <w:kern w:val="2"/>
        </w:rPr>
        <w:t xml:space="preserve">        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 целях повышения профессионального уровня педагогические работники проходят курсы, как классные руководители по теме «Организация деятельности педагогического работника  по классному руководству». В общеобразовательных организациях муниципального образования «Тереньгульский район» на педагогических совещаниях проводятся тематические беседы «Семейное воспитание и профилактика экстремизма в молодёжной среде», «Карта агрессивного контента в Интернете: манипулятивные технологии «формирования установок "свои-чужие" в радикальных "сайтах ненависти».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 данный момент все образовательные организации муниципального образования «Тереньгульский район» в сети «Интернет» на своих официальных сайтах в части исполнения обязанностей по защите от пропаганды и агитации, наносящей вред здоровью, имеют актуальную информацию и постоянно обновляют материалы по ней.  Так же на всех сайтах размещены ссылки на Федеральный список экстремистских материалов.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Во всех общеобразовательных организациях муниципального образования «Тереньгульский район» созданы организационно-правовые механизмы защиты детей от распространения информации, причиняющей вред их здоровью и развитию, проведены занятия с учащимися и родителями по ознакомление с информацией о медиабезопасности. Внедрены системы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устройств: использование  программного продукта, обеспечивающего контент-фильтрацию трафика.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 w:ascii="PT Astra Serif" w:hAnsi="PT Astra Serif"/>
          <w:kern w:val="2"/>
          <w:sz w:val="28"/>
          <w:szCs w:val="28"/>
        </w:rPr>
        <w:t xml:space="preserve">            </w:t>
      </w:r>
    </w:p>
    <w:p>
      <w:pPr>
        <w:pStyle w:val="Normal"/>
        <w:suppressAutoHyphens w:val="true"/>
        <w:spacing w:lineRule="auto" w:line="240" w:before="10" w:after="15"/>
        <w:ind w:left="-567" w:hanging="0"/>
        <w:jc w:val="both"/>
        <w:rPr>
          <w:rFonts w:ascii="Calibri" w:hAnsi="Calibri" w:eastAsia="Calibri" w:cs="font302"/>
          <w:kern w:val="2"/>
        </w:rPr>
      </w:pPr>
      <w:r>
        <w:rPr>
          <w:rFonts w:eastAsia="Calibri" w:cs="font302"/>
          <w:kern w:val="2"/>
        </w:rPr>
      </w:r>
    </w:p>
    <w:p>
      <w:pPr>
        <w:pStyle w:val="NoSpacing"/>
        <w:ind w:left="-567" w:hanging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Начальник   МУ Отдел образования</w:t>
      </w:r>
    </w:p>
    <w:p>
      <w:pPr>
        <w:pStyle w:val="NoSpacing"/>
        <w:ind w:left="-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МО «Тереньгульский район»                                                               Н.В.Андросова</w:t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Spacing"/>
        <w:ind w:left="-709" w:firstLine="142"/>
        <w:rPr>
          <w:rFonts w:ascii="PT Astra Serif" w:hAnsi="PT Astra Serif"/>
          <w:sz w:val="20"/>
          <w:szCs w:val="20"/>
        </w:rPr>
      </w:pPr>
      <w:r>
        <w:rPr/>
      </w:r>
    </w:p>
    <w:p>
      <w:pPr>
        <w:pStyle w:val="NoSpacing"/>
        <w:ind w:left="-709" w:firstLine="142"/>
        <w:rPr>
          <w:rFonts w:ascii="PT Astra Serif" w:hAnsi="PT Astra Serif"/>
          <w:sz w:val="20"/>
          <w:szCs w:val="20"/>
        </w:rPr>
      </w:pPr>
      <w:r>
        <w:rPr/>
      </w:r>
    </w:p>
    <w:p>
      <w:pPr>
        <w:pStyle w:val="NoSpacing"/>
        <w:ind w:left="-709" w:firstLine="142"/>
        <w:rPr/>
      </w:pPr>
      <w:r>
        <w:rPr>
          <w:rFonts w:ascii="PT Astra Serif" w:hAnsi="PT Astra Serif"/>
          <w:sz w:val="20"/>
          <w:szCs w:val="20"/>
        </w:rPr>
        <w:t>Прокофьева Елена Валентиновна</w:t>
      </w:r>
    </w:p>
    <w:p>
      <w:pPr>
        <w:pStyle w:val="NoSpacing"/>
        <w:ind w:left="-709" w:firstLine="142"/>
        <w:rPr/>
      </w:pPr>
      <w:r>
        <w:rPr>
          <w:rFonts w:ascii="PT Astra Serif" w:hAnsi="PT Astra Serif"/>
          <w:sz w:val="20"/>
          <w:szCs w:val="20"/>
        </w:rPr>
        <w:t>88423421395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a672e"/>
    <w:rPr/>
  </w:style>
  <w:style w:type="character" w:styleId="Style14">
    <w:name w:val="Интернет-ссылка"/>
    <w:basedOn w:val="DefaultParagraphFont"/>
    <w:uiPriority w:val="99"/>
    <w:semiHidden/>
    <w:unhideWhenUsed/>
    <w:rsid w:val="000a672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74e0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e7a5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74e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_roo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LibreOffice/6.3.6.2$Linux_X86_64 LibreOffice_project/30$Build-2</Application>
  <Pages>3</Pages>
  <Words>872</Words>
  <Characters>6698</Characters>
  <CharactersWithSpaces>7796</CharactersWithSpaces>
  <Paragraphs>30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2023-03-10T08:55:00Z</dcterms:created>
  <dc:creator>Байдулино</dc:creator>
  <dc:description/>
  <dc:language>ru-RU</dc:language>
  <cp:lastModifiedBy/>
  <cp:lastPrinted>2023-03-24T06:16:00Z</cp:lastPrinted>
  <dcterms:modified xsi:type="dcterms:W3CDTF">2023-11-13T17:00:03Z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