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18 июня</w:t>
      </w:r>
      <w:r>
        <w:rPr>
          <w:sz w:val="28"/>
          <w:szCs w:val="28"/>
        </w:rPr>
        <w:t xml:space="preserve"> 2021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3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PT Astra Serif"/>
          <w:b/>
          <w:b/>
          <w:bCs/>
          <w:sz w:val="28"/>
          <w:szCs w:val="28"/>
        </w:rPr>
      </w:pPr>
      <w:r>
        <w:rPr>
          <w:rFonts w:cs="PT Astra Serif"/>
          <w:b/>
          <w:bCs/>
          <w:sz w:val="28"/>
          <w:szCs w:val="28"/>
        </w:rPr>
        <w:t>совместного заседания Межведомственной комиссии</w:t>
      </w:r>
    </w:p>
    <w:p>
      <w:pPr>
        <w:pStyle w:val="Normal"/>
        <w:tabs>
          <w:tab w:val="clear" w:pos="706"/>
        </w:tabs>
        <w:bidi w:val="0"/>
        <w:spacing w:lineRule="auto" w:line="204" w:before="0" w:after="0"/>
        <w:ind w:left="0" w:right="0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cs="PT Astra Serif"/>
          <w:b/>
          <w:bCs/>
          <w:sz w:val="28"/>
          <w:szCs w:val="28"/>
        </w:rPr>
        <w:t xml:space="preserve">по противодействию коррупции в муниципальном образовании «Тереньгульский район»,  местного  отделения Региональной </w:t>
      </w:r>
      <w:r>
        <w:rPr>
          <w:rFonts w:cs="PT Astra Serif"/>
          <w:b/>
          <w:bCs/>
          <w:sz w:val="28"/>
          <w:szCs w:val="28"/>
        </w:rPr>
        <w:t xml:space="preserve"> Палаты справедливости и общественного контроля  муниципального образования «Тереньгульский район» и Общественной палаты  муниципального образования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18 июня состоялось заседание Межведомственной комиссии по противодействию коррупции в муниципальном образовании «Тереньгульский район», местного отделения Региональной Палаты справедливости и общественного контроля муниципального образования «Тереньгульский район» и Общественной палаты муниципального образования «Тереньгульский район». На заседание были приглашены депутаты Совета депутатов муниципального образования "Тереньгульское городское поселение". На повестке дня стояли вопросы: - Об итогах декларационной кампании по предоставлению сведений о доходах, расходах, об имуществе и обязательствах имущественного характера муниципальных служащих, депутатов городского и сельских поселений Тереньгульского района, членов их семей, полученных в 2020 году; - Об организации летнего отдыха детей. О ходе летней оздоровительной кампании на территории муниципального образования «Тереньгульский район»; - О комплектовании дошкольных образовательных учреждений муниципального образования «Тереньгульский район». О возможных коррупционных факторах связанных с комплектованием дошкольных образовательных учреждений муниципального образования «Тереньгульский район»; - О работе народной дружины на территории муниципального образования «Тереньгульский район; - О демонтаже забора и использование средств на благоустройство р.п.Тереньга.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По итогам заседания информация была принята к сведению. Вопрос о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демонтаже забора и использование средств на благоустройство р.п.Тереньга было решено повторно рассмотреть через две недели.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Секретарь:</w:t>
        <w:tab/>
        <w:tab/>
        <w:tab/>
        <w:tab/>
        <w:tab/>
        <w:tab/>
        <w:tab/>
        <w:t xml:space="preserve">           Богданова Н.Ю.</w:t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212"/>
  <w:mirrorMargins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Style18"/>
    <w:next w:val="Style17"/>
    <w:qFormat/>
    <w:pPr>
      <w:numPr>
        <w:ilvl w:val="0"/>
        <w:numId w:val="0"/>
      </w:numPr>
      <w:outlineLvl w:val="0"/>
    </w:pPr>
    <w:rPr>
      <w:rFonts w:ascii="Times New Roman" w:hAnsi="Times New Roman" w:eastAsia="MS PMincho" w:cs="Tahoma"/>
      <w:b/>
      <w:bCs/>
      <w:sz w:val="48"/>
      <w:szCs w:val="48"/>
    </w:rPr>
  </w:style>
  <w:style w:type="character" w:styleId="Style13">
    <w:name w:val="Символ нумерации"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Title"/>
    <w:basedOn w:val="Normal"/>
    <w:next w:val="Style17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9">
    <w:name w:val="Subtitle"/>
    <w:basedOn w:val="Style18"/>
    <w:next w:val="Style17"/>
    <w:qFormat/>
    <w:pPr>
      <w:jc w:val="center"/>
    </w:pPr>
    <w:rPr>
      <w:i/>
      <w:iCs/>
      <w:sz w:val="28"/>
      <w:szCs w:val="28"/>
    </w:rPr>
  </w:style>
  <w:style w:type="paragraph" w:styleId="Style20">
    <w:name w:val="List"/>
    <w:basedOn w:val="Style17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Tahoma"/>
    </w:rPr>
  </w:style>
  <w:style w:type="paragraph" w:styleId="Style23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7849</TotalTime>
  <Application>LibreOffice/7.3.2.2$Windows_X86_64 LibreOffice_project/49f2b1bff42cfccbd8f788c8dc32c1c309559be0</Application>
  <AppVersion>15.0000</AppVersion>
  <Pages>1</Pages>
  <Words>226</Words>
  <CharactersWithSpaces>2098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2021-07-30T13:35:45Z</cp:lastPrinted>
  <dcterms:modified xsi:type="dcterms:W3CDTF">2021-07-30T13:37:02Z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