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tabs>
          <w:tab w:val="clear" w:pos="709"/>
          <w:tab w:val="left" w:pos="0" w:leader="none"/>
        </w:tabs>
        <w:spacing w:before="240" w:after="120"/>
        <w:ind w:left="0" w:hanging="0"/>
        <w:jc w:val="center"/>
        <w:rPr>
          <w:rFonts w:ascii="PT Astra Serif" w:hAnsi="PT Astra Serif"/>
          <w:sz w:val="28"/>
          <w:szCs w:val="28"/>
        </w:rPr>
      </w:pPr>
      <w:bookmarkStart w:id="0" w:name="page-title"/>
      <w:bookmarkEnd w:id="0"/>
      <w:r>
        <w:rPr>
          <w:rFonts w:ascii="PT Astra Serif" w:hAnsi="PT Astra Serif"/>
          <w:sz w:val="28"/>
          <w:szCs w:val="28"/>
        </w:rPr>
        <w:t>Доклад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«Тереньгульский район» за 2023 год</w:t>
      </w:r>
    </w:p>
    <w:p>
      <w:pPr>
        <w:pStyle w:val="Normal"/>
        <w:jc w:val="center"/>
        <w:rPr>
          <w:rFonts w:ascii="PT Astra Serif" w:hAnsi="PT Astra Serif"/>
          <w:sz w:val="28"/>
          <w:szCs w:val="28"/>
        </w:rPr>
      </w:pPr>
      <w:r>
        <w:rPr>
          <w:rFonts w:ascii="PT Astra Serif" w:hAnsi="PT Astra Serif"/>
          <w:sz w:val="28"/>
          <w:szCs w:val="28"/>
        </w:rPr>
      </w:r>
    </w:p>
    <w:p>
      <w:pPr>
        <w:pStyle w:val="Style16"/>
        <w:jc w:val="center"/>
        <w:rPr>
          <w:rFonts w:ascii="PT Astra Serif" w:hAnsi="PT Astra Serif"/>
          <w:b/>
          <w:b/>
          <w:sz w:val="28"/>
          <w:szCs w:val="28"/>
        </w:rPr>
      </w:pPr>
      <w:r>
        <w:rPr>
          <w:rFonts w:ascii="PT Astra Serif" w:hAnsi="PT Astra Serif"/>
          <w:b/>
          <w:sz w:val="28"/>
          <w:szCs w:val="28"/>
        </w:rPr>
        <w:t>1. Общие положения</w:t>
      </w:r>
    </w:p>
    <w:p>
      <w:pPr>
        <w:pStyle w:val="Style16"/>
        <w:jc w:val="both"/>
        <w:rPr/>
      </w:pPr>
      <w:r>
        <w:rPr>
          <w:rStyle w:val="Style13"/>
          <w:rFonts w:ascii="PT Astra Serif" w:hAnsi="PT Astra Serif"/>
          <w:color w:val="222222"/>
          <w:sz w:val="28"/>
          <w:szCs w:val="28"/>
        </w:rPr>
        <w:t>Во исполнение Указа Президента Российской Федерации от 21 декабря 2017 года № 618 «Об основных направлениях государственной политики по развитию конкуренции»,</w:t>
      </w:r>
      <w:r>
        <w:rPr>
          <w:rStyle w:val="Style13"/>
          <w:rFonts w:ascii="PT Astra Serif" w:hAnsi="PT Astra Serif"/>
          <w:sz w:val="28"/>
          <w:szCs w:val="28"/>
        </w:rPr>
        <w:t xml:space="preserve"> </w:t>
      </w:r>
      <w:r>
        <w:rPr>
          <w:rStyle w:val="Style13"/>
          <w:rFonts w:ascii="PT Astra Serif" w:hAnsi="PT Astra Serif"/>
          <w:color w:val="222222"/>
          <w:sz w:val="28"/>
          <w:szCs w:val="28"/>
        </w:rPr>
        <w:t>на основании п. 2 распоряжения Правительства РФ от 18.10.2018 N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распоряжения Губернатора Ульяновской области от 10.12.2018 №1440-р «О создании и организации системы внутреннего обеспечения соответствия требованиям антимонопольного законодательства на территории Ульяновской области» в администрации муниципального образования «Тереньгульский район» постановлением администрации муниципального образования «Тереньгульский район» от 18.11.2019 № 509 создана система внутреннего обеспечения соответствия требованиям антимонопольного законодательства (далее-антимонопольный комплаенс).</w:t>
      </w:r>
    </w:p>
    <w:p>
      <w:pPr>
        <w:pStyle w:val="Style16"/>
        <w:jc w:val="both"/>
        <w:rPr>
          <w:rFonts w:ascii="PT Astra Serif" w:hAnsi="PT Astra Serif"/>
          <w:color w:val="222222"/>
          <w:sz w:val="28"/>
          <w:szCs w:val="28"/>
        </w:rPr>
      </w:pPr>
      <w:r>
        <w:rPr>
          <w:rFonts w:ascii="PT Astra Serif" w:hAnsi="PT Astra Serif"/>
          <w:color w:val="222222"/>
          <w:sz w:val="28"/>
          <w:szCs w:val="28"/>
        </w:rPr>
        <w:t>Постановление администрации муниципального образования «Тереньгульский район» от 18.11.2019 № 509 «О системе внутреннего обеспечения соответствия требованиям антимонопольного законодательства в администрации муниципального образования «Тереньгульский район» Ульяновской области (антимонопольном комплаенсе)» в соответствии с которым реализуется антимонопольный комплаенс, разработано на основании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распоряжением Правительства РФ от 18.10.2018 N 2258-р.</w:t>
      </w:r>
    </w:p>
    <w:p>
      <w:pPr>
        <w:pStyle w:val="Style16"/>
        <w:jc w:val="both"/>
        <w:rPr/>
      </w:pPr>
      <w:r>
        <w:rPr>
          <w:rStyle w:val="Style13"/>
          <w:rFonts w:ascii="PT Astra Serif" w:hAnsi="PT Astra Serif"/>
          <w:color w:val="222222"/>
          <w:sz w:val="28"/>
          <w:szCs w:val="28"/>
        </w:rPr>
        <w:t xml:space="preserve">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«Тереньгульский район» Ульяновской области (антимонопольном комплаенсе), утвержденным Постановлением </w:t>
      </w:r>
      <w:r>
        <w:rPr>
          <w:rStyle w:val="Style13"/>
          <w:rFonts w:ascii="PT Astra Serif" w:hAnsi="PT Astra Serif"/>
          <w:color w:val="000000"/>
          <w:sz w:val="28"/>
          <w:szCs w:val="28"/>
        </w:rPr>
        <w:t>администрации муниципального образования «Тереньгульский район»</w:t>
      </w:r>
      <w:r>
        <w:rPr>
          <w:rStyle w:val="Style13"/>
          <w:rFonts w:ascii="PT Astra Serif" w:hAnsi="PT Astra Serif"/>
          <w:color w:val="222222"/>
          <w:sz w:val="28"/>
          <w:szCs w:val="28"/>
        </w:rPr>
        <w:t xml:space="preserve"> от 18.11.2019 № 509, о</w:t>
      </w:r>
      <w:r>
        <w:rPr>
          <w:rStyle w:val="Style13"/>
          <w:rFonts w:ascii="PT Astra Serif" w:hAnsi="PT Astra Serif"/>
          <w:color w:val="000000"/>
          <w:sz w:val="28"/>
          <w:szCs w:val="28"/>
        </w:rPr>
        <w:t>бщий контроль за организацией и функционированием в администрации муниципального образования «Тереньгульский район» антимонопольного комплекса осуществляется Главой администрации муниципального образования «Тереньгульский район». Должностным лицом, ответственным за организацию и функционирование антимонопольного комплаенса в муниципальном образовании «Тереньгульский район», является руководитель аппарата администрации муниципального образования «Тереньгульский район». Функции Уполномоченного должностного лица, связанные с организацией и функционированием антимонопольного комплаенса, распределяются в соответствии с функциональными обязанностями между структурными подразделениями администрации муниципального образования «Тереньгульский район»: отделом правового обеспечения и противодействия коррупции администрации муниципального образования «Тереньгульский район», отделом муниципальной службы, кадров администрации муниципального образования «Тереньгульский район», управлением экономического и стратегического развития администрации муниципального образования «Тереньгульский район» (далее – Уполномоченные структурные подразделения).</w:t>
      </w:r>
    </w:p>
    <w:p>
      <w:pPr>
        <w:pStyle w:val="Style16"/>
        <w:jc w:val="both"/>
        <w:rPr/>
      </w:pPr>
      <w:r>
        <w:rPr>
          <w:rStyle w:val="Style13"/>
          <w:rFonts w:ascii="PT Astra Serif" w:hAnsi="PT Astra Serif"/>
          <w:color w:val="000000"/>
          <w:sz w:val="28"/>
          <w:szCs w:val="28"/>
        </w:rPr>
        <w:t xml:space="preserve">Оценку эффективности организации и функционирования в администрации муниципального образования «Тереньгульский район» антимонопольного комплаенса осуществляет </w:t>
      </w:r>
      <w:r>
        <w:rPr>
          <w:rStyle w:val="Style13"/>
          <w:rFonts w:ascii="PT Astra Serif" w:hAnsi="PT Astra Serif"/>
          <w:sz w:val="28"/>
          <w:szCs w:val="28"/>
        </w:rPr>
        <w:t xml:space="preserve">Межведомственная комиссия по противодействию коррупции в муниципальном образовании «Тереньгульский район» состав и положение которой утверждены </w:t>
      </w:r>
      <w:r>
        <w:rPr>
          <w:rStyle w:val="Style13"/>
          <w:rFonts w:ascii="PT Astra Serif" w:hAnsi="PT Astra Serif"/>
          <w:color w:val="222222"/>
          <w:sz w:val="28"/>
          <w:szCs w:val="28"/>
        </w:rPr>
        <w:t xml:space="preserve">Постановлением </w:t>
      </w:r>
      <w:r>
        <w:rPr>
          <w:rStyle w:val="Style13"/>
          <w:rFonts w:ascii="PT Astra Serif" w:hAnsi="PT Astra Serif"/>
          <w:color w:val="000000"/>
          <w:sz w:val="28"/>
          <w:szCs w:val="28"/>
        </w:rPr>
        <w:t>администрации муниципального образования «Тереньгульский район»</w:t>
      </w:r>
      <w:r>
        <w:rPr>
          <w:rStyle w:val="Style13"/>
          <w:rFonts w:ascii="PT Astra Serif" w:hAnsi="PT Astra Serif"/>
          <w:color w:val="222222"/>
          <w:sz w:val="28"/>
          <w:szCs w:val="28"/>
        </w:rPr>
        <w:t xml:space="preserve"> от </w:t>
      </w:r>
      <w:r>
        <w:rPr>
          <w:rStyle w:val="Style13"/>
          <w:rFonts w:ascii="PT Astra Serif" w:hAnsi="PT Astra Serif"/>
          <w:color w:val="000000"/>
          <w:sz w:val="28"/>
          <w:szCs w:val="28"/>
        </w:rPr>
        <w:t>27 июня 2018 № 293</w:t>
      </w:r>
      <w:r>
        <w:rPr>
          <w:rStyle w:val="Style13"/>
          <w:rFonts w:ascii="PT Astra Serif" w:hAnsi="PT Astra Serif"/>
          <w:color w:val="222222"/>
          <w:sz w:val="28"/>
          <w:szCs w:val="28"/>
        </w:rPr>
        <w:t xml:space="preserve"> «</w:t>
      </w:r>
      <w:r>
        <w:rPr>
          <w:rStyle w:val="Style13"/>
          <w:rFonts w:ascii="PT Astra Serif" w:hAnsi="PT Astra Serif"/>
          <w:color w:val="000000"/>
          <w:sz w:val="28"/>
          <w:szCs w:val="28"/>
        </w:rPr>
        <w:t>Об утверждении состава Межведомственной комиссии по противодействию коррупции в муниципальном образовании «Тереньгульский район»</w:t>
      </w:r>
      <w:r>
        <w:rPr>
          <w:rStyle w:val="Style13"/>
          <w:rFonts w:ascii="PT Astra Serif" w:hAnsi="PT Astra Serif"/>
          <w:sz w:val="28"/>
          <w:szCs w:val="28"/>
        </w:rPr>
        <w:t>. В Межведомственную комиссию входят руководители общественных объединений и организаций, осуществляющих свою деятельность на территории Тереньгульского района.</w:t>
      </w:r>
    </w:p>
    <w:p>
      <w:pPr>
        <w:pStyle w:val="Style16"/>
        <w:jc w:val="both"/>
        <w:rPr/>
      </w:pPr>
      <w:r>
        <w:rPr>
          <w:rStyle w:val="Style13"/>
          <w:rFonts w:ascii="PT Astra Serif" w:hAnsi="PT Astra Serif"/>
          <w:color w:val="000000"/>
          <w:sz w:val="28"/>
          <w:szCs w:val="28"/>
        </w:rPr>
        <w:t xml:space="preserve">«Тереньгульский район» </w:t>
      </w:r>
      <w:hyperlink r:id="rId2" w:tgtFrame="_top">
        <w:r>
          <w:rPr>
            <w:rFonts w:ascii="PT Astra Serif" w:hAnsi="PT Astra Serif"/>
            <w:sz w:val="28"/>
            <w:szCs w:val="28"/>
          </w:rPr>
          <w:t>https://terenga.gosuslugi.ru/deyatelnost/napravleniya-deyatelnosti/ekonomika/antimonopolnyy-komplaens/</w:t>
        </w:r>
      </w:hyperlink>
      <w:r>
        <w:rPr>
          <w:rStyle w:val="Style13"/>
          <w:rFonts w:ascii="PT Astra Serif" w:hAnsi="PT Astra Serif"/>
          <w:color w:val="000000"/>
          <w:sz w:val="28"/>
          <w:szCs w:val="28"/>
          <w:u w:val="single"/>
        </w:rPr>
        <w:t xml:space="preserve"> </w:t>
      </w:r>
      <w:r>
        <w:rPr>
          <w:rStyle w:val="Style13"/>
          <w:rFonts w:ascii="PT Astra Serif" w:hAnsi="PT Astra Serif"/>
          <w:color w:val="000000"/>
          <w:sz w:val="28"/>
          <w:szCs w:val="28"/>
        </w:rPr>
        <w:t>создан раздел «Антимонопольный комплаенс».</w:t>
      </w:r>
    </w:p>
    <w:p>
      <w:pPr>
        <w:pStyle w:val="Style16"/>
        <w:jc w:val="center"/>
        <w:rPr>
          <w:rFonts w:ascii="PT Astra Serif" w:hAnsi="PT Astra Serif"/>
          <w:b/>
          <w:b/>
          <w:color w:val="222222"/>
          <w:sz w:val="28"/>
          <w:szCs w:val="28"/>
        </w:rPr>
      </w:pPr>
      <w:r>
        <w:rPr>
          <w:rFonts w:ascii="PT Astra Serif" w:hAnsi="PT Astra Serif"/>
          <w:b/>
          <w:color w:val="222222"/>
          <w:sz w:val="28"/>
          <w:szCs w:val="28"/>
        </w:rPr>
        <w:t>2. Информация о проведенных мероприятиях по внедрению антимонопольного комплаенса в администрации муниципального образования «Тереньгульский район»</w:t>
      </w:r>
    </w:p>
    <w:p>
      <w:pPr>
        <w:pStyle w:val="Style16"/>
        <w:jc w:val="both"/>
        <w:rPr/>
      </w:pPr>
      <w:r>
        <w:rPr>
          <w:rStyle w:val="Style13"/>
          <w:rFonts w:ascii="PT Astra Serif" w:hAnsi="PT Astra Serif"/>
          <w:color w:val="222222"/>
          <w:sz w:val="28"/>
          <w:szCs w:val="28"/>
        </w:rPr>
        <w:t xml:space="preserve">В целях выявления и оценки рисков нарушения антимонопольного  законодательства </w:t>
      </w:r>
      <w:r>
        <w:rPr>
          <w:rStyle w:val="Style13"/>
          <w:rFonts w:ascii="PT Astra Serif" w:hAnsi="PT Astra Serif"/>
          <w:color w:val="000000"/>
          <w:sz w:val="28"/>
          <w:szCs w:val="28"/>
        </w:rPr>
        <w:t>Уполномоченными структурными подразделениями</w:t>
      </w:r>
      <w:r>
        <w:rPr>
          <w:rStyle w:val="Style13"/>
          <w:rFonts w:ascii="PT Astra Serif" w:hAnsi="PT Astra Serif"/>
          <w:color w:val="222222"/>
          <w:sz w:val="28"/>
          <w:szCs w:val="28"/>
        </w:rPr>
        <w:t xml:space="preserve"> проведены ряд мероприятий.</w:t>
      </w:r>
    </w:p>
    <w:p>
      <w:pPr>
        <w:pStyle w:val="Style16"/>
        <w:jc w:val="center"/>
        <w:rPr>
          <w:rFonts w:ascii="PT Astra Serif" w:hAnsi="PT Astra Serif"/>
          <w:b/>
          <w:b/>
          <w:color w:val="222222"/>
          <w:sz w:val="28"/>
          <w:szCs w:val="28"/>
        </w:rPr>
      </w:pPr>
      <w:r>
        <w:rPr>
          <w:rFonts w:ascii="PT Astra Serif" w:hAnsi="PT Astra Serif"/>
          <w:b/>
          <w:color w:val="222222"/>
          <w:sz w:val="28"/>
          <w:szCs w:val="28"/>
        </w:rPr>
        <w:t>2.1. Анализ выявленных нарушений антимонопольного законодательства в деятельности администрации за 2022-2023 г.г.</w:t>
      </w:r>
    </w:p>
    <w:p>
      <w:pPr>
        <w:pStyle w:val="Style16"/>
        <w:jc w:val="both"/>
        <w:rPr>
          <w:rFonts w:ascii="PT Astra Serif" w:hAnsi="PT Astra Serif"/>
          <w:color w:val="222222"/>
          <w:sz w:val="28"/>
          <w:szCs w:val="28"/>
        </w:rPr>
      </w:pPr>
      <w:r>
        <w:rPr>
          <w:rFonts w:ascii="PT Astra Serif" w:hAnsi="PT Astra Serif"/>
          <w:color w:val="222222"/>
          <w:sz w:val="28"/>
          <w:szCs w:val="28"/>
        </w:rPr>
        <w:t>Во исполнение пункта 4.1. Положения об организации системы внутреннего обеспечении соответствия требованиям антимонопольного законодательства в администрации муниципального образования «Тереньгульский район» (далее - Положение об антимонопольном комплаенсе)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предыдущие три года.</w:t>
      </w:r>
    </w:p>
    <w:p>
      <w:pPr>
        <w:pStyle w:val="Style16"/>
        <w:jc w:val="both"/>
        <w:rPr>
          <w:rFonts w:ascii="PT Astra Serif" w:hAnsi="PT Astra Serif"/>
          <w:color w:val="000000"/>
          <w:sz w:val="28"/>
          <w:szCs w:val="28"/>
        </w:rPr>
      </w:pPr>
      <w:r>
        <w:rPr>
          <w:rFonts w:ascii="PT Astra Serif" w:hAnsi="PT Astra Serif"/>
          <w:color w:val="000000"/>
          <w:sz w:val="28"/>
          <w:szCs w:val="28"/>
        </w:rPr>
        <w:t>По результатам проведенного анализа установлено следующее:</w:t>
      </w:r>
    </w:p>
    <w:p>
      <w:pPr>
        <w:pStyle w:val="Style16"/>
        <w:jc w:val="both"/>
        <w:rPr>
          <w:rFonts w:ascii="PT Astra Serif" w:hAnsi="PT Astra Serif"/>
          <w:color w:val="000000"/>
          <w:sz w:val="28"/>
          <w:szCs w:val="28"/>
        </w:rPr>
      </w:pPr>
      <w:r>
        <w:rPr>
          <w:rFonts w:ascii="PT Astra Serif" w:hAnsi="PT Astra Serif"/>
          <w:color w:val="000000"/>
          <w:sz w:val="28"/>
          <w:szCs w:val="28"/>
        </w:rPr>
        <w:t xml:space="preserve">- рассмотрения дел по вопросам применения и возможного нарушения администрацией муниципального образования «Тереньгульский район» норм антимонопольного законодательства в судебных инстанциях  осуществлялось. </w:t>
      </w:r>
      <w:r>
        <w:rPr>
          <w:rFonts w:ascii="PT Astra Serif" w:hAnsi="PT Astra Serif"/>
          <w:color w:val="000000"/>
          <w:sz w:val="28"/>
          <w:szCs w:val="28"/>
        </w:rPr>
        <w:t>Арбитражным судом Ульяновской области вынесено два решения об удовлетворении исковых заявлений прокуратуры Ульяновской области от 01.02.2023 г. № А72-17189/2022, от 20.02.2023 г. № А 72-17504/2022.</w:t>
      </w:r>
    </w:p>
    <w:p>
      <w:pPr>
        <w:pStyle w:val="Style16"/>
        <w:jc w:val="both"/>
        <w:rPr>
          <w:rFonts w:ascii="PT Astra Serif" w:hAnsi="PT Astra Serif"/>
          <w:color w:val="000000"/>
          <w:sz w:val="28"/>
          <w:szCs w:val="28"/>
        </w:rPr>
      </w:pPr>
      <w:r>
        <w:rPr>
          <w:rFonts w:ascii="PT Astra Serif" w:hAnsi="PT Astra Serif"/>
          <w:color w:val="000000"/>
          <w:sz w:val="28"/>
          <w:szCs w:val="28"/>
        </w:rPr>
        <w:t>- нормативные правовые акты администрации, в которых УФАС России по Ульяновской области выявлены нарушения антимонопольного законодательства в указанный период в администрации муниципального образования отсутствуют (вх.№ 464-04 от 28.01.2022 УФАС);</w:t>
      </w:r>
    </w:p>
    <w:p>
      <w:pPr>
        <w:pStyle w:val="Style16"/>
        <w:jc w:val="center"/>
        <w:rPr>
          <w:rFonts w:ascii="PT Astra Serif" w:hAnsi="PT Astra Serif"/>
          <w:b/>
          <w:b/>
          <w:color w:val="222222"/>
          <w:sz w:val="28"/>
          <w:szCs w:val="28"/>
        </w:rPr>
      </w:pPr>
      <w:r>
        <w:rPr>
          <w:rFonts w:ascii="PT Astra Serif" w:hAnsi="PT Astra Serif"/>
          <w:b/>
          <w:color w:val="222222"/>
          <w:sz w:val="28"/>
          <w:szCs w:val="28"/>
        </w:rPr>
        <w:t>2.2. Анализ действующих нормативных правовых актов администрации муниципального образования «Тереньгульский район»</w:t>
      </w:r>
    </w:p>
    <w:p>
      <w:pPr>
        <w:pStyle w:val="Style16"/>
        <w:jc w:val="both"/>
        <w:rPr>
          <w:rFonts w:ascii="PT Astra Serif" w:hAnsi="PT Astra Serif"/>
          <w:color w:val="222222"/>
          <w:sz w:val="28"/>
          <w:szCs w:val="28"/>
        </w:rPr>
      </w:pPr>
      <w:r>
        <w:rPr>
          <w:rFonts w:ascii="PT Astra Serif" w:hAnsi="PT Astra Serif"/>
          <w:color w:val="222222"/>
          <w:sz w:val="28"/>
          <w:szCs w:val="28"/>
        </w:rPr>
        <w:t>Во исполнение пункта 4 Положения об антимонопольном комплаенсе, а так же в целях выявления и исключения рисков нарушения антимонопольного  законодательства и проведения анализа нормативных правовых актов администрации на соответствие их антимонопольному законодательству сформирован перечень действующих нормативных правовых актов администрации муниципального образования «Тереньгульский район».</w:t>
      </w:r>
    </w:p>
    <w:p>
      <w:pPr>
        <w:pStyle w:val="Style16"/>
        <w:jc w:val="both"/>
        <w:rPr>
          <w:rFonts w:ascii="PT Astra Serif" w:hAnsi="PT Astra Serif"/>
          <w:color w:val="222222"/>
          <w:sz w:val="28"/>
          <w:szCs w:val="28"/>
        </w:rPr>
      </w:pPr>
      <w:r>
        <w:rPr>
          <w:rFonts w:ascii="PT Astra Serif" w:hAnsi="PT Astra Serif"/>
          <w:color w:val="222222"/>
          <w:sz w:val="28"/>
          <w:szCs w:val="28"/>
        </w:rPr>
        <w:t>По итогам проведенного анализа действующих НПА уполномоченным подразделением будет сделан вывод об их соответствии либо несоответствии  антимонопольному законодательству, а так же о целесообразности внесения изменений в действующие НПА администрации.</w:t>
      </w:r>
    </w:p>
    <w:p>
      <w:pPr>
        <w:pStyle w:val="Style16"/>
        <w:jc w:val="center"/>
        <w:rPr>
          <w:rFonts w:ascii="PT Astra Serif" w:hAnsi="PT Astra Serif"/>
          <w:b/>
          <w:b/>
          <w:color w:val="222222"/>
          <w:sz w:val="28"/>
          <w:szCs w:val="28"/>
        </w:rPr>
      </w:pPr>
      <w:r>
        <w:rPr>
          <w:rFonts w:ascii="PT Astra Serif" w:hAnsi="PT Astra Serif"/>
          <w:b/>
          <w:color w:val="222222"/>
          <w:sz w:val="28"/>
          <w:szCs w:val="28"/>
        </w:rPr>
        <w:t>2.3. Анализ проектов нормативных правовых актов администрации муниципального образования «Тереньгульский район» на предмет их соответствия антимонопольному законодательству</w:t>
      </w:r>
    </w:p>
    <w:p>
      <w:pPr>
        <w:pStyle w:val="Style16"/>
        <w:jc w:val="both"/>
        <w:rPr/>
      </w:pPr>
      <w:r>
        <w:rPr>
          <w:rStyle w:val="Style13"/>
          <w:rFonts w:ascii="PT Astra Serif" w:hAnsi="PT Astra Serif"/>
          <w:color w:val="000000"/>
          <w:sz w:val="28"/>
          <w:szCs w:val="28"/>
        </w:rPr>
        <w:t xml:space="preserve">В целях обеспечения проведения анализа проектов </w:t>
      </w:r>
      <w:r>
        <w:rPr>
          <w:rStyle w:val="Style13"/>
          <w:rFonts w:ascii="PT Astra Serif" w:hAnsi="PT Astra Serif"/>
          <w:color w:val="222222"/>
          <w:sz w:val="28"/>
          <w:szCs w:val="28"/>
        </w:rPr>
        <w:t>нормативных правовых актов администрации муниципального образования «Терень</w:t>
      </w:r>
      <w:r>
        <w:rPr>
          <w:rStyle w:val="Style13"/>
          <w:rFonts w:ascii="PT Astra Serif" w:hAnsi="PT Astra Serif"/>
          <w:color w:val="000000"/>
          <w:sz w:val="28"/>
          <w:szCs w:val="28"/>
        </w:rPr>
        <w:t>гульский район» на предмет их соответствия антимонопольному законодательству соответствующие проекты размещаются на официальном сайте администрации муниципального образования «Тереньгульский район» ссылка: https://terenga.gosuslugi.ru/deyatelnost/napravleniya-deyatelnosti/ekonomika/antimonopolnyy-komplaens/</w:t>
      </w:r>
      <w:r>
        <w:rPr>
          <w:rStyle w:val="Style13"/>
          <w:rFonts w:ascii="PT Astra Serif" w:hAnsi="PT Astra Serif"/>
          <w:color w:val="000000"/>
          <w:sz w:val="28"/>
          <w:szCs w:val="28"/>
          <w:u w:val="single"/>
        </w:rPr>
        <w:t>.</w:t>
      </w:r>
    </w:p>
    <w:p>
      <w:pPr>
        <w:pStyle w:val="Style16"/>
        <w:jc w:val="both"/>
        <w:rPr/>
      </w:pPr>
      <w:r>
        <w:rPr>
          <w:rStyle w:val="Style13"/>
          <w:rFonts w:ascii="PT Astra Serif" w:hAnsi="PT Astra Serif"/>
          <w:color w:val="000000"/>
          <w:sz w:val="28"/>
          <w:szCs w:val="28"/>
        </w:rPr>
        <w:t xml:space="preserve">Проекты </w:t>
      </w:r>
      <w:r>
        <w:rPr>
          <w:rStyle w:val="Style13"/>
          <w:rFonts w:ascii="PT Astra Serif" w:hAnsi="PT Astra Serif"/>
          <w:color w:val="222222"/>
          <w:sz w:val="28"/>
          <w:szCs w:val="28"/>
        </w:rPr>
        <w:t>нормативных правовых актов</w:t>
      </w:r>
      <w:r>
        <w:rPr>
          <w:rStyle w:val="Style13"/>
          <w:rFonts w:ascii="PT Astra Serif" w:hAnsi="PT Astra Serif"/>
          <w:color w:val="000000"/>
          <w:sz w:val="28"/>
          <w:szCs w:val="28"/>
        </w:rPr>
        <w:t xml:space="preserve"> размещаются вместе с необходимым обоснованием реализации предлагаемых решений, в том числе их влиянием на конкуренцию.</w:t>
      </w:r>
    </w:p>
    <w:p>
      <w:pPr>
        <w:pStyle w:val="Style16"/>
        <w:jc w:val="center"/>
        <w:rPr>
          <w:rFonts w:ascii="PT Astra Serif" w:hAnsi="PT Astra Serif"/>
          <w:b/>
          <w:b/>
          <w:color w:val="222222"/>
          <w:sz w:val="28"/>
          <w:szCs w:val="28"/>
        </w:rPr>
      </w:pPr>
      <w:r>
        <w:rPr>
          <w:rFonts w:ascii="PT Astra Serif" w:hAnsi="PT Astra Serif"/>
          <w:b/>
          <w:color w:val="222222"/>
          <w:sz w:val="28"/>
          <w:szCs w:val="28"/>
        </w:rPr>
        <w:t>2.4.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администрации муниципального образования «Тереньгульский район»</w:t>
      </w:r>
    </w:p>
    <w:p>
      <w:pPr>
        <w:pStyle w:val="Style16"/>
        <w:jc w:val="both"/>
        <w:rPr>
          <w:rFonts w:ascii="PT Astra Serif" w:hAnsi="PT Astra Serif"/>
          <w:color w:val="222222"/>
          <w:sz w:val="28"/>
          <w:szCs w:val="28"/>
        </w:rPr>
      </w:pPr>
      <w:r>
        <w:rPr>
          <w:rFonts w:ascii="PT Astra Serif" w:hAnsi="PT Astra Serif"/>
          <w:color w:val="222222"/>
          <w:sz w:val="28"/>
          <w:szCs w:val="28"/>
        </w:rPr>
        <w:t>В целях выявления рисков нарушения антимонопольного законодательства Уполномоченными структурными подразделениями осуществлен ряд мероприятий, предусмотренных Положением об антимонопольном комплаенсе, а именно:</w:t>
      </w:r>
    </w:p>
    <w:p>
      <w:pPr>
        <w:pStyle w:val="Style16"/>
        <w:jc w:val="both"/>
        <w:rPr>
          <w:rFonts w:ascii="PT Astra Serif" w:hAnsi="PT Astra Serif"/>
          <w:color w:val="222222"/>
          <w:sz w:val="28"/>
          <w:szCs w:val="28"/>
        </w:rPr>
      </w:pPr>
      <w:r>
        <w:rPr>
          <w:rFonts w:ascii="PT Astra Serif" w:hAnsi="PT Astra Serif"/>
          <w:color w:val="222222"/>
          <w:sz w:val="28"/>
          <w:szCs w:val="28"/>
        </w:rPr>
        <w:t>-запрошены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 причинах и условиях возникновения;</w:t>
      </w:r>
    </w:p>
    <w:p>
      <w:pPr>
        <w:pStyle w:val="Style16"/>
        <w:jc w:val="both"/>
        <w:rPr>
          <w:rFonts w:ascii="PT Astra Serif" w:hAnsi="PT Astra Serif"/>
          <w:color w:val="222222"/>
          <w:sz w:val="28"/>
          <w:szCs w:val="28"/>
        </w:rPr>
      </w:pPr>
      <w:r>
        <w:rPr>
          <w:rFonts w:ascii="PT Astra Serif" w:hAnsi="PT Astra Serif"/>
          <w:color w:val="222222"/>
          <w:sz w:val="28"/>
          <w:szCs w:val="28"/>
        </w:rPr>
        <w:t>-проведена оценка поступивших предложений структурных подразделений администрации с учетом указания уровня риска и вероятности их повторного возникновения;</w:t>
      </w:r>
    </w:p>
    <w:p>
      <w:pPr>
        <w:pStyle w:val="Style16"/>
        <w:jc w:val="both"/>
        <w:rPr>
          <w:rFonts w:ascii="PT Astra Serif" w:hAnsi="PT Astra Serif"/>
          <w:color w:val="222222"/>
          <w:sz w:val="28"/>
          <w:szCs w:val="28"/>
        </w:rPr>
      </w:pPr>
      <w:r>
        <w:rPr>
          <w:rFonts w:ascii="PT Astra Serif" w:hAnsi="PT Astra Serif"/>
          <w:color w:val="222222"/>
          <w:sz w:val="28"/>
          <w:szCs w:val="28"/>
        </w:rPr>
        <w:t>-проведены рабочие совещания с Уполномоченными структурными подразделениями с целью обсуждения и анализа результатов проводимой работы по выявлению комплаенс-рисков.</w:t>
      </w:r>
    </w:p>
    <w:p>
      <w:pPr>
        <w:pStyle w:val="Style16"/>
        <w:jc w:val="both"/>
        <w:rPr/>
      </w:pPr>
      <w:r>
        <w:rPr>
          <w:rStyle w:val="Style13"/>
          <w:rFonts w:ascii="PT Astra Serif" w:hAnsi="PT Astra Serif"/>
          <w:color w:val="222222"/>
          <w:sz w:val="28"/>
          <w:szCs w:val="28"/>
        </w:rPr>
        <w:t>По результатам проведения оценки рисков нарушения антимонопольного законодательства Уполномоченным подразделением составл</w:t>
      </w:r>
      <w:r>
        <w:rPr>
          <w:rStyle w:val="Style13"/>
          <w:rFonts w:ascii="PT Astra Serif" w:hAnsi="PT Astra Serif"/>
          <w:color w:val="000000"/>
          <w:sz w:val="28"/>
          <w:szCs w:val="28"/>
        </w:rPr>
        <w:t>ена Карта рисков нарушения антимонопольного законодательства в администрации муниципального образования «Тереньгульский район» (далее – Карта рисков).</w:t>
      </w:r>
    </w:p>
    <w:p>
      <w:pPr>
        <w:pStyle w:val="Style16"/>
        <w:jc w:val="both"/>
        <w:rPr/>
      </w:pPr>
      <w:r>
        <w:rPr>
          <w:rStyle w:val="Style13"/>
          <w:rFonts w:ascii="PT Astra Serif" w:hAnsi="PT Astra Serif"/>
          <w:color w:val="000000"/>
          <w:sz w:val="28"/>
          <w:szCs w:val="28"/>
        </w:rPr>
        <w:t xml:space="preserve">Карта рисков утверждена Главой администрации муниципального образования «Тереньгульский район» 20.04.2022 г. и размещена на официальном сайте администрации МО «Тереньгульский район» </w:t>
      </w:r>
      <w:r>
        <w:rPr>
          <w:rStyle w:val="Style13"/>
          <w:rFonts w:ascii="PT Astra Serif" w:hAnsi="PT Astra Serif"/>
          <w:color w:val="000000"/>
          <w:sz w:val="28"/>
          <w:szCs w:val="28"/>
          <w:u w:val="single"/>
        </w:rPr>
        <w:t>https://terenga.gosuslugi.ru/deyatelnost/napravleniya-deyatelnosti/ekonomika/antimonopolnyy-komplaens/</w:t>
      </w:r>
    </w:p>
    <w:p>
      <w:pPr>
        <w:pStyle w:val="Style16"/>
        <w:jc w:val="center"/>
        <w:rPr>
          <w:rFonts w:ascii="PT Astra Serif" w:hAnsi="PT Astra Serif"/>
          <w:b/>
          <w:b/>
          <w:color w:val="222222"/>
          <w:sz w:val="28"/>
          <w:szCs w:val="28"/>
        </w:rPr>
      </w:pPr>
      <w:r>
        <w:rPr>
          <w:rFonts w:ascii="PT Astra Serif" w:hAnsi="PT Astra Serif"/>
          <w:b/>
          <w:color w:val="222222"/>
          <w:sz w:val="28"/>
          <w:szCs w:val="28"/>
        </w:rPr>
        <w:t>2.5. Мероприятия по снижению рисков нарушения антимонопольного законодательства в администрации</w:t>
      </w:r>
    </w:p>
    <w:p>
      <w:pPr>
        <w:pStyle w:val="Style16"/>
        <w:jc w:val="center"/>
        <w:rPr>
          <w:rFonts w:ascii="PT Astra Serif" w:hAnsi="PT Astra Serif"/>
          <w:b/>
          <w:b/>
          <w:color w:val="222222"/>
          <w:sz w:val="28"/>
          <w:szCs w:val="28"/>
        </w:rPr>
      </w:pPr>
      <w:r>
        <w:rPr>
          <w:rFonts w:ascii="PT Astra Serif" w:hAnsi="PT Astra Serif"/>
          <w:b/>
          <w:color w:val="222222"/>
          <w:sz w:val="28"/>
          <w:szCs w:val="28"/>
        </w:rPr>
        <w:t>муниципального образования «Тереньгульский район»</w:t>
      </w:r>
    </w:p>
    <w:p>
      <w:pPr>
        <w:pStyle w:val="Style16"/>
        <w:jc w:val="both"/>
        <w:rPr>
          <w:rFonts w:ascii="PT Astra Serif" w:hAnsi="PT Astra Serif"/>
          <w:color w:val="222222"/>
          <w:sz w:val="28"/>
          <w:szCs w:val="28"/>
        </w:rPr>
      </w:pPr>
      <w:r>
        <w:rPr>
          <w:rFonts w:ascii="PT Astra Serif" w:hAnsi="PT Astra Serif"/>
          <w:color w:val="222222"/>
          <w:sz w:val="28"/>
          <w:szCs w:val="28"/>
        </w:rPr>
        <w:t>В целях снижения рисков нарушения антимонопольного законодательства Уполномоченным подразделением на основе Карты рисков разработан План мероприятий (Дорожная карта) по снижению рисков нарушения антимонопольного законодательства в администрации муниципального образования «Тереньгульский район» (далее – План мероприятий (Дорожная карта).</w:t>
      </w:r>
    </w:p>
    <w:p>
      <w:pPr>
        <w:pStyle w:val="Style16"/>
        <w:jc w:val="both"/>
        <w:rPr/>
      </w:pPr>
      <w:r>
        <w:rPr>
          <w:rStyle w:val="Style13"/>
          <w:rFonts w:ascii="PT Astra Serif" w:hAnsi="PT Astra Serif"/>
          <w:color w:val="222222"/>
          <w:sz w:val="28"/>
          <w:szCs w:val="28"/>
        </w:rPr>
        <w:t xml:space="preserve">В Плане мероприятий (Дорожной карте) определены </w:t>
      </w:r>
      <w:r>
        <w:rPr>
          <w:rStyle w:val="Style13"/>
          <w:rFonts w:ascii="PT Astra Serif" w:hAnsi="PT Astra Serif"/>
          <w:color w:val="000000"/>
          <w:sz w:val="28"/>
          <w:szCs w:val="28"/>
        </w:rPr>
        <w:t>возможные виды рисков нарушения антимонопольного законодательства,</w:t>
      </w:r>
      <w:r>
        <w:rPr>
          <w:rStyle w:val="Style13"/>
          <w:rFonts w:ascii="PT Astra Serif" w:hAnsi="PT Astra Serif"/>
          <w:sz w:val="28"/>
          <w:szCs w:val="28"/>
        </w:rPr>
        <w:t xml:space="preserve"> мероприятия по минимизации и устранению рисков, показатели, сроки исполнения (планируемый результат) и ответственные исполнители.</w:t>
      </w:r>
    </w:p>
    <w:p>
      <w:pPr>
        <w:pStyle w:val="Style16"/>
        <w:jc w:val="both"/>
        <w:rPr/>
      </w:pPr>
      <w:r>
        <w:rPr>
          <w:rStyle w:val="Style13"/>
          <w:rFonts w:ascii="PT Astra Serif" w:hAnsi="PT Astra Serif"/>
          <w:color w:val="222222"/>
          <w:sz w:val="28"/>
          <w:szCs w:val="28"/>
        </w:rPr>
        <w:t xml:space="preserve">В целях минимизации рисков </w:t>
      </w:r>
      <w:r>
        <w:rPr>
          <w:rStyle w:val="Style13"/>
          <w:rFonts w:ascii="PT Astra Serif" w:hAnsi="PT Astra Serif"/>
          <w:color w:val="000000"/>
          <w:sz w:val="28"/>
          <w:szCs w:val="28"/>
        </w:rPr>
        <w:t>нарушения антимонопольного законодательства ответственными исполнителями запланированы следующие мероприятия:</w:t>
      </w:r>
    </w:p>
    <w:p>
      <w:pPr>
        <w:pStyle w:val="Style16"/>
        <w:jc w:val="both"/>
        <w:rPr/>
      </w:pPr>
      <w:r>
        <w:rPr>
          <w:rStyle w:val="Style13"/>
          <w:rFonts w:ascii="PT Astra Serif" w:hAnsi="PT Astra Serif"/>
          <w:color w:val="000000"/>
          <w:sz w:val="28"/>
          <w:szCs w:val="28"/>
        </w:rPr>
        <w:t xml:space="preserve">1. </w:t>
      </w:r>
      <w:r>
        <w:rPr>
          <w:rStyle w:val="Style13"/>
          <w:rFonts w:ascii="PT Astra Serif" w:hAnsi="PT Astra Serif"/>
          <w:sz w:val="28"/>
          <w:szCs w:val="28"/>
        </w:rPr>
        <w:t>При осуществлении закупок товаров, работ и услуг для муниципальных нужд:</w:t>
      </w:r>
    </w:p>
    <w:p>
      <w:pPr>
        <w:pStyle w:val="Style16"/>
        <w:jc w:val="both"/>
        <w:rPr/>
      </w:pPr>
      <w:r>
        <w:rPr>
          <w:rStyle w:val="Style13"/>
          <w:rFonts w:ascii="PT Astra Serif" w:hAnsi="PT Astra Serif"/>
          <w:color w:val="000000"/>
          <w:sz w:val="28"/>
          <w:szCs w:val="28"/>
        </w:rPr>
        <w:t xml:space="preserve">- </w:t>
      </w:r>
      <w:r>
        <w:rPr>
          <w:rStyle w:val="Style13"/>
          <w:rFonts w:ascii="PT Astra Serif" w:hAnsi="PT Astra Serif"/>
          <w:sz w:val="28"/>
          <w:szCs w:val="28"/>
        </w:rPr>
        <w:t>контроль за соблюдением требований законодательства в сфере закупок;</w:t>
      </w:r>
    </w:p>
    <w:p>
      <w:pPr>
        <w:pStyle w:val="Style16"/>
        <w:jc w:val="both"/>
        <w:rPr>
          <w:rFonts w:ascii="PT Astra Serif" w:hAnsi="PT Astra Serif"/>
          <w:sz w:val="28"/>
          <w:szCs w:val="28"/>
        </w:rPr>
      </w:pPr>
      <w:r>
        <w:rPr>
          <w:rFonts w:ascii="PT Astra Serif" w:hAnsi="PT Astra Serif"/>
          <w:sz w:val="28"/>
          <w:szCs w:val="28"/>
        </w:rPr>
        <w:t>- мониторинг изменений законодательства о закупках, «белая и черная книги конкурентных и не конкурентных процедур»;</w:t>
      </w:r>
    </w:p>
    <w:p>
      <w:pPr>
        <w:pStyle w:val="Style16"/>
        <w:jc w:val="both"/>
        <w:rPr>
          <w:rFonts w:ascii="PT Astra Serif" w:hAnsi="PT Astra Serif"/>
          <w:sz w:val="28"/>
          <w:szCs w:val="28"/>
        </w:rPr>
      </w:pPr>
      <w:r>
        <w:rPr>
          <w:rFonts w:ascii="PT Astra Serif" w:hAnsi="PT Astra Serif"/>
          <w:sz w:val="28"/>
          <w:szCs w:val="28"/>
        </w:rPr>
        <w:t>- предварительное согласование документации по закупкам с отделом правового обеспечения;</w:t>
      </w:r>
    </w:p>
    <w:p>
      <w:pPr>
        <w:pStyle w:val="Style16"/>
        <w:jc w:val="both"/>
        <w:rPr>
          <w:rFonts w:ascii="PT Astra Serif" w:hAnsi="PT Astra Serif"/>
          <w:sz w:val="28"/>
          <w:szCs w:val="28"/>
        </w:rPr>
      </w:pPr>
      <w:r>
        <w:rPr>
          <w:rFonts w:ascii="PT Astra Serif" w:hAnsi="PT Astra Serif"/>
          <w:sz w:val="28"/>
          <w:szCs w:val="28"/>
        </w:rPr>
        <w:t>- рассмотрение технико-экономического задания на комиссии по повышению эффективности муниципальных закупок в МО «Тереньгульский район»;</w:t>
      </w:r>
    </w:p>
    <w:p>
      <w:pPr>
        <w:pStyle w:val="Style16"/>
        <w:jc w:val="both"/>
        <w:rPr>
          <w:rFonts w:ascii="PT Astra Serif" w:hAnsi="PT Astra Serif"/>
          <w:sz w:val="28"/>
          <w:szCs w:val="28"/>
        </w:rPr>
      </w:pPr>
      <w:r>
        <w:rPr>
          <w:rFonts w:ascii="PT Astra Serif" w:hAnsi="PT Astra Serif"/>
          <w:sz w:val="28"/>
          <w:szCs w:val="28"/>
        </w:rPr>
        <w:t>- систематическое повышение квалификации работников контрактной службы, контрактных управляющих.</w:t>
      </w:r>
    </w:p>
    <w:p>
      <w:pPr>
        <w:pStyle w:val="Style16"/>
        <w:jc w:val="both"/>
        <w:rPr>
          <w:rFonts w:ascii="PT Astra Serif" w:hAnsi="PT Astra Serif"/>
          <w:sz w:val="28"/>
          <w:szCs w:val="28"/>
        </w:rPr>
      </w:pPr>
      <w:r>
        <w:rPr>
          <w:rFonts w:ascii="PT Astra Serif" w:hAnsi="PT Astra Serif"/>
          <w:sz w:val="28"/>
          <w:szCs w:val="28"/>
        </w:rPr>
        <w:t>2. При владении, пользовании и распоряжении муниципальным имуществом, земельными участками:</w:t>
      </w:r>
    </w:p>
    <w:p>
      <w:pPr>
        <w:pStyle w:val="Style16"/>
        <w:jc w:val="both"/>
        <w:rPr>
          <w:rFonts w:ascii="PT Astra Serif" w:hAnsi="PT Astra Serif"/>
          <w:sz w:val="28"/>
          <w:szCs w:val="28"/>
        </w:rPr>
      </w:pPr>
      <w:r>
        <w:rPr>
          <w:rFonts w:ascii="PT Astra Serif" w:hAnsi="PT Astra Serif"/>
          <w:sz w:val="28"/>
          <w:szCs w:val="28"/>
        </w:rPr>
        <w:t>- проведение конкурентных торгов в соответствии с требованиями законодательства;</w:t>
      </w:r>
    </w:p>
    <w:p>
      <w:pPr>
        <w:pStyle w:val="Style16"/>
        <w:jc w:val="both"/>
        <w:rPr>
          <w:rFonts w:ascii="PT Astra Serif" w:hAnsi="PT Astra Serif"/>
          <w:sz w:val="28"/>
          <w:szCs w:val="28"/>
        </w:rPr>
      </w:pPr>
      <w:r>
        <w:rPr>
          <w:rFonts w:ascii="PT Astra Serif" w:hAnsi="PT Astra Serif"/>
          <w:sz w:val="28"/>
          <w:szCs w:val="28"/>
        </w:rPr>
        <w:t>- повышение уровня квалификации ответственных должностных лиц.</w:t>
      </w:r>
    </w:p>
    <w:p>
      <w:pPr>
        <w:pStyle w:val="Style16"/>
        <w:jc w:val="both"/>
        <w:rPr>
          <w:rFonts w:ascii="PT Astra Serif" w:hAnsi="PT Astra Serif"/>
          <w:sz w:val="28"/>
          <w:szCs w:val="28"/>
        </w:rPr>
      </w:pPr>
      <w:r>
        <w:rPr>
          <w:rFonts w:ascii="PT Astra Serif" w:hAnsi="PT Astra Serif"/>
          <w:sz w:val="28"/>
          <w:szCs w:val="28"/>
        </w:rPr>
        <w:t>3. При предоставлении муниципальных услуг:</w:t>
      </w:r>
    </w:p>
    <w:p>
      <w:pPr>
        <w:pStyle w:val="Style16"/>
        <w:jc w:val="both"/>
        <w:rPr>
          <w:rFonts w:ascii="PT Astra Serif" w:hAnsi="PT Astra Serif"/>
          <w:sz w:val="28"/>
          <w:szCs w:val="28"/>
        </w:rPr>
      </w:pPr>
      <w:r>
        <w:rPr>
          <w:rFonts w:ascii="PT Astra Serif" w:hAnsi="PT Astra Serif"/>
          <w:sz w:val="28"/>
          <w:szCs w:val="28"/>
        </w:rPr>
        <w:t>- повышение уровня компетенции сотрудников, ответственных за предоставление муниципальных услуг;</w:t>
      </w:r>
    </w:p>
    <w:p>
      <w:pPr>
        <w:pStyle w:val="Style16"/>
        <w:jc w:val="both"/>
        <w:rPr>
          <w:rFonts w:ascii="PT Astra Serif" w:hAnsi="PT Astra Serif"/>
          <w:sz w:val="28"/>
          <w:szCs w:val="28"/>
        </w:rPr>
      </w:pPr>
      <w:r>
        <w:rPr>
          <w:rFonts w:ascii="PT Astra Serif" w:hAnsi="PT Astra Serif"/>
          <w:sz w:val="28"/>
          <w:szCs w:val="28"/>
        </w:rPr>
        <w:t>- повышение качества разработки нормативно-правовых актов, регламентирующих оказание муниципальных услуг;</w:t>
      </w:r>
    </w:p>
    <w:p>
      <w:pPr>
        <w:pStyle w:val="Style16"/>
        <w:jc w:val="both"/>
        <w:rPr>
          <w:rFonts w:ascii="PT Astra Serif" w:hAnsi="PT Astra Serif"/>
          <w:sz w:val="28"/>
          <w:szCs w:val="28"/>
        </w:rPr>
      </w:pPr>
      <w:r>
        <w:rPr>
          <w:rFonts w:ascii="PT Astra Serif" w:hAnsi="PT Astra Serif"/>
          <w:sz w:val="28"/>
          <w:szCs w:val="28"/>
        </w:rPr>
        <w:t>- повышение уровня правовой экспертизы и оценки регулирующего воздействия проектов нормативно-правовых актов.</w:t>
      </w:r>
    </w:p>
    <w:p>
      <w:pPr>
        <w:pStyle w:val="Style16"/>
        <w:jc w:val="both"/>
        <w:rPr/>
      </w:pPr>
      <w:r>
        <w:rPr>
          <w:rStyle w:val="Style13"/>
          <w:rFonts w:ascii="PT Astra Serif" w:hAnsi="PT Astra Serif"/>
          <w:color w:val="222222"/>
          <w:sz w:val="28"/>
          <w:szCs w:val="28"/>
        </w:rPr>
        <w:t xml:space="preserve">4. </w:t>
      </w:r>
      <w:r>
        <w:rPr>
          <w:rStyle w:val="Style13"/>
          <w:rFonts w:ascii="PT Astra Serif" w:hAnsi="PT Astra Serif"/>
          <w:sz w:val="28"/>
          <w:szCs w:val="28"/>
        </w:rPr>
        <w:t>В действующих нормативных правовых актах и проектах нормативных правовых актов:</w:t>
      </w:r>
    </w:p>
    <w:p>
      <w:pPr>
        <w:pStyle w:val="Style16"/>
        <w:jc w:val="both"/>
        <w:rPr>
          <w:rFonts w:ascii="PT Astra Serif" w:hAnsi="PT Astra Serif"/>
          <w:sz w:val="28"/>
          <w:szCs w:val="28"/>
        </w:rPr>
      </w:pPr>
      <w:r>
        <w:rPr>
          <w:rFonts w:ascii="PT Astra Serif" w:hAnsi="PT Astra Serif"/>
          <w:sz w:val="28"/>
          <w:szCs w:val="28"/>
        </w:rPr>
        <w:t>- анализ нормативных правовых актов и проектов нормативных правовых актов на предмет соответствия антимонопольному законодательству;</w:t>
      </w:r>
    </w:p>
    <w:p>
      <w:pPr>
        <w:pStyle w:val="Style16"/>
        <w:jc w:val="both"/>
        <w:rPr>
          <w:rFonts w:ascii="PT Astra Serif" w:hAnsi="PT Astra Serif"/>
          <w:sz w:val="28"/>
          <w:szCs w:val="28"/>
        </w:rPr>
      </w:pPr>
      <w:r>
        <w:rPr>
          <w:rFonts w:ascii="PT Astra Serif" w:hAnsi="PT Astra Serif"/>
          <w:sz w:val="28"/>
          <w:szCs w:val="28"/>
        </w:rPr>
        <w:t>- анализ ранее выявленных нарушений;</w:t>
      </w:r>
    </w:p>
    <w:p>
      <w:pPr>
        <w:pStyle w:val="Style16"/>
        <w:jc w:val="both"/>
        <w:rPr>
          <w:rFonts w:ascii="PT Astra Serif" w:hAnsi="PT Astra Serif"/>
          <w:sz w:val="28"/>
          <w:szCs w:val="28"/>
        </w:rPr>
      </w:pPr>
      <w:r>
        <w:rPr>
          <w:rFonts w:ascii="PT Astra Serif" w:hAnsi="PT Astra Serif"/>
          <w:sz w:val="28"/>
          <w:szCs w:val="28"/>
        </w:rPr>
        <w:t>- мониторинг и анализ практики применения антимонопольного</w:t>
      </w:r>
    </w:p>
    <w:p>
      <w:pPr>
        <w:pStyle w:val="Style16"/>
        <w:jc w:val="both"/>
        <w:rPr>
          <w:rFonts w:ascii="PT Astra Serif" w:hAnsi="PT Astra Serif"/>
          <w:sz w:val="28"/>
          <w:szCs w:val="28"/>
        </w:rPr>
      </w:pPr>
      <w:r>
        <w:rPr>
          <w:rFonts w:ascii="PT Astra Serif" w:hAnsi="PT Astra Serif"/>
          <w:sz w:val="28"/>
          <w:szCs w:val="28"/>
        </w:rPr>
        <w:t>законодательства;</w:t>
      </w:r>
    </w:p>
    <w:p>
      <w:pPr>
        <w:pStyle w:val="Style16"/>
        <w:jc w:val="both"/>
        <w:rPr>
          <w:rFonts w:ascii="PT Astra Serif" w:hAnsi="PT Astra Serif"/>
          <w:sz w:val="28"/>
          <w:szCs w:val="28"/>
        </w:rPr>
      </w:pPr>
      <w:r>
        <w:rPr>
          <w:rFonts w:ascii="PT Astra Serif" w:hAnsi="PT Astra Serif"/>
          <w:sz w:val="28"/>
          <w:szCs w:val="28"/>
        </w:rPr>
        <w:t>- совершенствование системы внутреннего контроля.</w:t>
      </w:r>
    </w:p>
    <w:p>
      <w:pPr>
        <w:pStyle w:val="Style16"/>
        <w:jc w:val="both"/>
        <w:rPr>
          <w:rFonts w:ascii="PT Astra Serif" w:hAnsi="PT Astra Serif"/>
          <w:sz w:val="28"/>
          <w:szCs w:val="28"/>
        </w:rPr>
      </w:pPr>
      <w:r>
        <w:rPr>
          <w:rFonts w:ascii="PT Astra Serif" w:hAnsi="PT Astra Serif"/>
          <w:sz w:val="28"/>
          <w:szCs w:val="28"/>
        </w:rPr>
        <w:t>Отделом муниципальной службы и кадров администрации муниципального образования «Тереньгульский район» осуществлено ознакомление муниципальных служащих администрации с Постановлением от 18.10.2019 №509 «О системе внутреннего обеспечения соответствия требованиям антимонопольного законодательства в администрации муниципального образования «Тереньгульский район» Ульяновской области (антимонопольном комплаенсе)».</w:t>
      </w:r>
    </w:p>
    <w:p>
      <w:pPr>
        <w:pStyle w:val="Style16"/>
        <w:jc w:val="both"/>
        <w:rPr>
          <w:rFonts w:ascii="PT Astra Serif" w:hAnsi="PT Astra Serif"/>
          <w:color w:val="222222"/>
          <w:sz w:val="28"/>
          <w:szCs w:val="28"/>
        </w:rPr>
      </w:pPr>
      <w:r>
        <w:rPr>
          <w:rFonts w:ascii="PT Astra Serif" w:hAnsi="PT Astra Serif"/>
          <w:color w:val="222222"/>
          <w:sz w:val="28"/>
          <w:szCs w:val="28"/>
        </w:rPr>
        <w:t>С целью повышения квалификации сотрудников администрации в сфере антимонопольного законодательства проведено рабочее совещание по вопросу проведения анализа проектов нормативных правовых актов администрации на предмет соответствия их антимонопольному законодательству, а так же с целью ознакомления структурных подразделений администрации с возможными рисками нарушения антимонопольного законодательства.</w:t>
      </w:r>
    </w:p>
    <w:p>
      <w:pPr>
        <w:pStyle w:val="Style16"/>
        <w:jc w:val="both"/>
        <w:rPr>
          <w:rFonts w:ascii="PT Astra Serif" w:hAnsi="PT Astra Serif"/>
          <w:color w:val="222222"/>
          <w:sz w:val="28"/>
          <w:szCs w:val="28"/>
        </w:rPr>
      </w:pPr>
      <w:r>
        <w:rPr>
          <w:rFonts w:ascii="PT Astra Serif" w:hAnsi="PT Astra Serif"/>
          <w:color w:val="222222"/>
          <w:sz w:val="28"/>
          <w:szCs w:val="28"/>
        </w:rPr>
        <w:t>В целях исключения положений, противоречащих нормам антимонопольного законодательства на стадии разработки проектов нормативных правовых актов, договоров, соглашений, уполномоченным подразделением (отдел по правовому обеспечению) на постоянной основе проводится юридическая экспертиза перечисленных актов, подготовленных структурными подразделениями администрации.</w:t>
      </w:r>
    </w:p>
    <w:p>
      <w:pPr>
        <w:pStyle w:val="Style16"/>
        <w:jc w:val="center"/>
        <w:rPr>
          <w:rFonts w:ascii="PT Astra Serif" w:hAnsi="PT Astra Serif"/>
          <w:b/>
          <w:b/>
          <w:color w:val="222222"/>
          <w:sz w:val="28"/>
          <w:szCs w:val="28"/>
        </w:rPr>
      </w:pPr>
      <w:r>
        <w:rPr>
          <w:rFonts w:ascii="PT Astra Serif" w:hAnsi="PT Astra Serif"/>
          <w:b/>
          <w:color w:val="222222"/>
          <w:sz w:val="28"/>
          <w:szCs w:val="28"/>
        </w:rPr>
        <w:t>2.6. Оценка эффективности функционирования</w:t>
      </w:r>
    </w:p>
    <w:p>
      <w:pPr>
        <w:pStyle w:val="Style16"/>
        <w:jc w:val="center"/>
        <w:rPr>
          <w:rFonts w:ascii="PT Astra Serif" w:hAnsi="PT Astra Serif"/>
          <w:b/>
          <w:b/>
          <w:color w:val="222222"/>
          <w:sz w:val="28"/>
          <w:szCs w:val="28"/>
        </w:rPr>
      </w:pPr>
      <w:r>
        <w:rPr>
          <w:rFonts w:ascii="PT Astra Serif" w:hAnsi="PT Astra Serif"/>
          <w:b/>
          <w:color w:val="222222"/>
          <w:sz w:val="28"/>
          <w:szCs w:val="28"/>
        </w:rPr>
        <w:t>антимонопольного комплаенса</w:t>
      </w:r>
    </w:p>
    <w:p>
      <w:pPr>
        <w:pStyle w:val="Style16"/>
        <w:jc w:val="both"/>
        <w:rPr>
          <w:rFonts w:ascii="PT Astra Serif" w:hAnsi="PT Astra Serif"/>
          <w:color w:val="222222"/>
          <w:sz w:val="28"/>
          <w:szCs w:val="28"/>
        </w:rPr>
      </w:pPr>
      <w:r>
        <w:rPr>
          <w:rFonts w:ascii="PT Astra Serif" w:hAnsi="PT Astra Serif"/>
          <w:color w:val="222222"/>
          <w:sz w:val="28"/>
          <w:szCs w:val="28"/>
        </w:rPr>
        <w:t>Во исполнение пункта 6 Положения об антимонопольном комплаенсе Главой администрации муниципального образования «Тереньгульский район» от 29.10.2021 утверждены Ключевые показатели эффективности функционирования антимонопольного комплаенса в администрации муниципального образования «Тереньгульский район» на 2023 год.</w:t>
      </w:r>
    </w:p>
    <w:p>
      <w:pPr>
        <w:pStyle w:val="Style16"/>
        <w:jc w:val="both"/>
        <w:rPr>
          <w:rFonts w:ascii="PT Astra Serif" w:hAnsi="PT Astra Serif"/>
          <w:color w:val="222222"/>
          <w:sz w:val="28"/>
          <w:szCs w:val="28"/>
        </w:rPr>
      </w:pPr>
      <w:r>
        <w:rPr>
          <w:rFonts w:ascii="PT Astra Serif" w:hAnsi="PT Astra Serif"/>
          <w:color w:val="222222"/>
          <w:sz w:val="28"/>
          <w:szCs w:val="28"/>
        </w:rPr>
        <w:t>Согласно Методике ключевыми показателями эффективности функционирования в администрации муниципального образования «Тереньгульский район» антимонопольного комплаенса являются:</w:t>
      </w:r>
    </w:p>
    <w:p>
      <w:pPr>
        <w:pStyle w:val="Style16"/>
        <w:jc w:val="both"/>
        <w:rPr>
          <w:rFonts w:ascii="PT Astra Serif" w:hAnsi="PT Astra Serif"/>
          <w:color w:val="222222"/>
          <w:sz w:val="28"/>
          <w:szCs w:val="28"/>
        </w:rPr>
      </w:pPr>
      <w:r>
        <w:rPr>
          <w:rFonts w:ascii="PT Astra Serif" w:hAnsi="PT Astra Serif"/>
          <w:color w:val="222222"/>
          <w:sz w:val="28"/>
          <w:szCs w:val="28"/>
        </w:rPr>
        <w:t>1) коэффициент снижения количества нарушений антимонопольного законодательства;</w:t>
      </w:r>
    </w:p>
    <w:p>
      <w:pPr>
        <w:pStyle w:val="Style16"/>
        <w:jc w:val="both"/>
        <w:rPr>
          <w:rFonts w:ascii="PT Astra Serif" w:hAnsi="PT Astra Serif"/>
          <w:color w:val="222222"/>
          <w:sz w:val="28"/>
          <w:szCs w:val="28"/>
        </w:rPr>
      </w:pPr>
      <w:r>
        <w:rPr>
          <w:rFonts w:ascii="PT Astra Serif" w:hAnsi="PT Astra Serif"/>
          <w:color w:val="222222"/>
          <w:sz w:val="28"/>
          <w:szCs w:val="28"/>
        </w:rPr>
        <w:t>2) доля проектов муниципальных правовых актов, в которых выявлены риски нарушения антимонопольного законодательства;</w:t>
      </w:r>
    </w:p>
    <w:p>
      <w:pPr>
        <w:pStyle w:val="Style16"/>
        <w:jc w:val="both"/>
        <w:rPr>
          <w:rFonts w:ascii="PT Astra Serif" w:hAnsi="PT Astra Serif"/>
          <w:color w:val="222222"/>
          <w:sz w:val="28"/>
          <w:szCs w:val="28"/>
        </w:rPr>
      </w:pPr>
      <w:r>
        <w:rPr>
          <w:rFonts w:ascii="PT Astra Serif" w:hAnsi="PT Astra Serif"/>
          <w:color w:val="222222"/>
          <w:sz w:val="28"/>
          <w:szCs w:val="28"/>
        </w:rPr>
        <w:t>3) доля муниципальных правовых актов, в которых выявлены риски нарушения антимонопольного законодательства;</w:t>
      </w:r>
    </w:p>
    <w:p>
      <w:pPr>
        <w:pStyle w:val="Style16"/>
        <w:jc w:val="both"/>
        <w:rPr>
          <w:rFonts w:ascii="PT Astra Serif" w:hAnsi="PT Astra Serif"/>
          <w:color w:val="222222"/>
          <w:sz w:val="28"/>
          <w:szCs w:val="28"/>
        </w:rPr>
      </w:pPr>
      <w:r>
        <w:rPr>
          <w:rFonts w:ascii="PT Astra Serif" w:hAnsi="PT Astra Serif"/>
          <w:color w:val="222222"/>
          <w:sz w:val="28"/>
          <w:szCs w:val="28"/>
        </w:rPr>
        <w:t>4) доля сотрудников администрации, в отношении которых были проведены обучающие мероприятия по антимонопольному законодательству и антимонопольному комплаенсу.</w:t>
      </w:r>
    </w:p>
    <w:p>
      <w:pPr>
        <w:pStyle w:val="Style16"/>
        <w:jc w:val="both"/>
        <w:rPr>
          <w:rFonts w:ascii="PT Astra Serif" w:hAnsi="PT Astra Serif"/>
          <w:color w:val="222222"/>
          <w:sz w:val="28"/>
          <w:szCs w:val="28"/>
        </w:rPr>
      </w:pPr>
      <w:r>
        <w:rPr>
          <w:rFonts w:ascii="PT Astra Serif" w:hAnsi="PT Astra Serif"/>
          <w:color w:val="222222"/>
          <w:sz w:val="28"/>
          <w:szCs w:val="28"/>
        </w:rPr>
        <w:t>Информация о достижении ключевых показателей эффективности функционирования антимонопольного комплаенса в администрации муниципального образования «Тереньгульский район» за 2023 год будет включена в доклад за 2024 год.</w:t>
      </w:r>
    </w:p>
    <w:p>
      <w:pPr>
        <w:pStyle w:val="Style16"/>
        <w:jc w:val="center"/>
        <w:rPr>
          <w:rFonts w:ascii="PT Astra Serif" w:hAnsi="PT Astra Serif"/>
          <w:b/>
          <w:b/>
          <w:color w:val="222222"/>
          <w:sz w:val="28"/>
          <w:szCs w:val="28"/>
        </w:rPr>
      </w:pPr>
      <w:r>
        <w:rPr>
          <w:rFonts w:ascii="PT Astra Serif" w:hAnsi="PT Astra Serif"/>
          <w:b/>
          <w:color w:val="222222"/>
          <w:sz w:val="28"/>
          <w:szCs w:val="28"/>
        </w:rPr>
        <w:t>Выводы:</w:t>
      </w:r>
    </w:p>
    <w:p>
      <w:pPr>
        <w:pStyle w:val="Style16"/>
        <w:jc w:val="both"/>
        <w:rPr>
          <w:rFonts w:ascii="PT Astra Serif" w:hAnsi="PT Astra Serif"/>
          <w:color w:val="222222"/>
          <w:sz w:val="28"/>
          <w:szCs w:val="28"/>
        </w:rPr>
      </w:pPr>
      <w:r>
        <w:rPr>
          <w:rFonts w:ascii="PT Astra Serif" w:hAnsi="PT Astra Serif"/>
          <w:color w:val="222222"/>
          <w:sz w:val="28"/>
          <w:szCs w:val="28"/>
        </w:rPr>
        <w:t>В настоящее время в администрации муниципального образования «Тереньгульский район» осуществлено внедрение системы внутреннего обеспечения соответствия требованиям антимонопольного законодательства.</w:t>
      </w:r>
    </w:p>
    <w:p>
      <w:pPr>
        <w:pStyle w:val="Style16"/>
        <w:jc w:val="both"/>
        <w:rPr>
          <w:rFonts w:ascii="PT Astra Serif" w:hAnsi="PT Astra Serif"/>
          <w:color w:val="222222"/>
          <w:sz w:val="28"/>
          <w:szCs w:val="28"/>
        </w:rPr>
      </w:pPr>
      <w:r>
        <w:rPr>
          <w:rFonts w:ascii="PT Astra Serif" w:hAnsi="PT Astra Serif"/>
          <w:color w:val="222222"/>
          <w:sz w:val="28"/>
          <w:szCs w:val="28"/>
        </w:rPr>
        <w:t>Разработаны нормативные акты администрации в сфере антимонопольного комплаенса, создан раздел «Антимонопольный комплаенс» на официальном сайте администрации муниципального образования «Тереньгульский район».</w:t>
      </w:r>
    </w:p>
    <w:p>
      <w:pPr>
        <w:pStyle w:val="Style16"/>
        <w:jc w:val="both"/>
        <w:rPr>
          <w:rFonts w:ascii="PT Astra Serif" w:hAnsi="PT Astra Serif"/>
          <w:color w:val="222222"/>
          <w:sz w:val="28"/>
          <w:szCs w:val="28"/>
        </w:rPr>
      </w:pPr>
      <w:r>
        <w:rPr>
          <w:rFonts w:ascii="PT Astra Serif" w:hAnsi="PT Astra Serif"/>
          <w:color w:val="222222"/>
          <w:sz w:val="28"/>
          <w:szCs w:val="28"/>
        </w:rPr>
        <w:t>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антимонопольного комплаенса.</w:t>
      </w:r>
    </w:p>
    <w:p>
      <w:pPr>
        <w:pStyle w:val="Style16"/>
        <w:jc w:val="both"/>
        <w:rPr>
          <w:rFonts w:ascii="PT Astra Serif" w:hAnsi="PT Astra Serif"/>
          <w:color w:val="222222"/>
          <w:sz w:val="28"/>
          <w:szCs w:val="28"/>
        </w:rPr>
      </w:pPr>
      <w:r>
        <w:rPr>
          <w:rFonts w:ascii="PT Astra Serif" w:hAnsi="PT Astra Serif"/>
          <w:color w:val="222222"/>
          <w:sz w:val="28"/>
          <w:szCs w:val="28"/>
        </w:rPr>
        <w:t>Осуществлено ознакомление муниципальных служащих с антимонопольным комплаенсом.</w:t>
      </w:r>
    </w:p>
    <w:p>
      <w:pPr>
        <w:pStyle w:val="Style16"/>
        <w:jc w:val="both"/>
        <w:rPr>
          <w:rFonts w:ascii="PT Astra Serif" w:hAnsi="PT Astra Serif"/>
          <w:color w:val="222222"/>
          <w:sz w:val="28"/>
          <w:szCs w:val="28"/>
        </w:rPr>
      </w:pPr>
      <w:r>
        <w:rPr>
          <w:rFonts w:ascii="PT Astra Serif" w:hAnsi="PT Astra Serif"/>
          <w:color w:val="222222"/>
          <w:sz w:val="28"/>
          <w:szCs w:val="28"/>
        </w:rPr>
        <w:t>Проведена оценка рисков нарушения антимонопольного законодательства, по результатам которой составлена Карта рисков нарушения антимонопольного законодательства.</w:t>
      </w:r>
    </w:p>
    <w:p>
      <w:pPr>
        <w:pStyle w:val="Style16"/>
        <w:jc w:val="both"/>
        <w:rPr>
          <w:rFonts w:ascii="PT Astra Serif" w:hAnsi="PT Astra Serif"/>
          <w:color w:val="222222"/>
          <w:sz w:val="28"/>
          <w:szCs w:val="28"/>
        </w:rPr>
      </w:pPr>
      <w:r>
        <w:rPr>
          <w:rFonts w:ascii="PT Astra Serif" w:hAnsi="PT Astra Serif"/>
          <w:color w:val="222222"/>
          <w:sz w:val="28"/>
          <w:szCs w:val="28"/>
        </w:rPr>
        <w:t>В целях снижения рисков нарушения антимонопольного законодательства разработан План мероприятий («дорожная карта») по снижению рисков нарушения антимонопольного законодательства в администрации муниципального образования «Тереньгульский район».</w:t>
      </w:r>
    </w:p>
    <w:p>
      <w:pPr>
        <w:pStyle w:val="Normal"/>
        <w:jc w:val="center"/>
        <w:rPr>
          <w:rFonts w:ascii="PT Astra Serif" w:hAnsi="PT Astra Serif"/>
          <w:sz w:val="28"/>
          <w:szCs w:val="28"/>
        </w:rPr>
      </w:pPr>
      <w:r>
        <w:rPr>
          <w:rFonts w:ascii="PT Astra Serif" w:hAnsi="PT Astra Serif"/>
          <w:sz w:val="28"/>
          <w:szCs w:val="28"/>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PT Astra 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86"/>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ru-RU" w:eastAsia="zh-CN" w:bidi="hi-IN"/>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Droid Sans Fallback" w:cs="Droid Sans Devanaga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zh-CN" w:bidi="hi-IN"/>
    </w:rPr>
  </w:style>
  <w:style w:type="paragraph" w:styleId="1">
    <w:name w:val="Heading 1"/>
    <w:basedOn w:val="Style15"/>
    <w:next w:val="Style16"/>
    <w:qFormat/>
    <w:pPr>
      <w:numPr>
        <w:ilvl w:val="0"/>
        <w:numId w:val="1"/>
      </w:numPr>
      <w:suppressAutoHyphens w:val="true"/>
      <w:outlineLvl w:val="0"/>
    </w:pPr>
    <w:rPr>
      <w:rFonts w:ascii="Liberation Serif" w:hAnsi="Liberation Serif"/>
      <w:b/>
      <w:bCs/>
      <w:sz w:val="48"/>
      <w:szCs w:val="48"/>
    </w:rPr>
  </w:style>
  <w:style w:type="character" w:styleId="Style13">
    <w:name w:val="Основной шрифт абзаца"/>
    <w:qFormat/>
    <w:rPr/>
  </w:style>
  <w:style w:type="character" w:styleId="Style14">
    <w:name w:val="Интернет-ссылка"/>
    <w:rPr>
      <w:color w:val="000080"/>
      <w:u w:val="single"/>
    </w:rPr>
  </w:style>
  <w:style w:type="paragraph" w:styleId="Style15">
    <w:name w:val="Заголовок"/>
    <w:basedOn w:val="Normal"/>
    <w:next w:val="Style16"/>
    <w:qFormat/>
    <w:pPr>
      <w:keepNext w:val="true"/>
      <w:suppressAutoHyphens w:val="true"/>
      <w:spacing w:before="240" w:after="120"/>
    </w:pPr>
    <w:rPr>
      <w:rFonts w:ascii="Liberation Sans" w:hAnsi="Liberation Sans"/>
      <w:sz w:val="28"/>
      <w:szCs w:val="28"/>
    </w:rPr>
  </w:style>
  <w:style w:type="paragraph" w:styleId="Style16">
    <w:name w:val="Body Text"/>
    <w:basedOn w:val="Normal"/>
    <w:pPr>
      <w:suppressAutoHyphens w:val="true"/>
      <w:spacing w:lineRule="auto" w:line="276" w:before="0" w:after="140"/>
    </w:pPr>
    <w:rPr/>
  </w:style>
  <w:style w:type="paragraph" w:styleId="Style17">
    <w:name w:val="Обычный"/>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Droid Sans Fallback" w:cs="Droid Sans Devanaga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zh-CN" w:bidi="hi-IN"/>
    </w:rPr>
  </w:style>
  <w:style w:type="paragraph" w:styleId="Style18">
    <w:name w:val="List"/>
    <w:basedOn w:val="Style16"/>
    <w:pPr>
      <w:suppressAutoHyphens w:val="true"/>
    </w:pPr>
    <w:rPr/>
  </w:style>
  <w:style w:type="paragraph" w:styleId="Style19">
    <w:name w:val="Название объекта"/>
    <w:basedOn w:val="Normal"/>
    <w:qFormat/>
    <w:pPr>
      <w:suppressLineNumbers/>
      <w:suppressAutoHyphens w:val="true"/>
      <w:spacing w:before="120" w:after="120"/>
    </w:pPr>
    <w:rPr>
      <w:i/>
      <w:iCs/>
    </w:rPr>
  </w:style>
  <w:style w:type="paragraph" w:styleId="Style20">
    <w:name w:val="Указатель"/>
    <w:basedOn w:val="Normal"/>
    <w:qFormat/>
    <w:pPr>
      <w:suppressLineNumber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erenga.gosuslugi.ru/deyatelnost/napravleniya-deyatelnosti/ekonomika/antimonopolnyy-komplaens/"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243</TotalTime>
  <Application>LibreOffice/7.3.2.2$Windows_X86_64 LibreOffice_project/49f2b1bff42cfccbd8f788c8dc32c1c309559be0</Application>
  <AppVersion>15.0000</AppVersion>
  <Pages>8</Pages>
  <Words>1469</Words>
  <Characters>13293</Characters>
  <CharactersWithSpaces>14700</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2023-02-20T11:30:00Z</dcterms:created>
  <dc:creator/>
  <dc:description/>
  <dc:language>ru-RU</dc:language>
  <cp:lastModifiedBy/>
  <dcterms:modified xsi:type="dcterms:W3CDTF">2024-01-15T13:18:56Z</dcterms:modified>
  <cp:revision>10</cp:revision>
  <dc:subject/>
  <dc:title/>
</cp:coreProperties>
</file>