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rFonts w:ascii="PT Astra Serif" w:hAnsi="PT Astra Serif" w:cs="PT Astra Serif;Times New Roman"/>
          <w:sz w:val="28"/>
          <w:szCs w:val="28"/>
        </w:rPr>
      </w:pPr>
      <w:r>
        <w:rPr>
          <w:rFonts w:cs="PT Astra Serif;Times New Roman" w:ascii="PT Astra Serif" w:hAnsi="PT Astra Serif"/>
          <w:sz w:val="28"/>
          <w:szCs w:val="28"/>
        </w:rPr>
        <w:t>СОВЕТ ДЕПУТАТОВ МУНИЦИПАЛЬНОГО ОБРАЗОВАНИЯ</w:t>
      </w:r>
    </w:p>
    <w:p>
      <w:pPr>
        <w:pStyle w:val="Normal"/>
        <w:jc w:val="center"/>
        <w:rPr>
          <w:rFonts w:ascii="PT Astra Serif" w:hAnsi="PT Astra Serif" w:cs="PT Astra Serif;Times New Roman"/>
          <w:sz w:val="28"/>
          <w:szCs w:val="28"/>
        </w:rPr>
      </w:pPr>
      <w:r>
        <w:rPr>
          <w:rFonts w:cs="PT Astra Serif;Times New Roman" w:ascii="PT Astra Serif" w:hAnsi="PT Astra Serif"/>
          <w:sz w:val="28"/>
          <w:szCs w:val="28"/>
        </w:rPr>
        <w:t>«ТЕРЕНЬГУЛЬСКОЕ ГОРОДСКОЕ ПОСЕЛЕНИЕ»</w:t>
      </w:r>
    </w:p>
    <w:p>
      <w:pPr>
        <w:pStyle w:val="Normal"/>
        <w:jc w:val="center"/>
        <w:rPr>
          <w:rFonts w:ascii="PT Astra Serif" w:hAnsi="PT Astra Serif" w:cs="PT Astra Serif;Times New Roman"/>
          <w:sz w:val="28"/>
          <w:szCs w:val="28"/>
        </w:rPr>
      </w:pPr>
      <w:r>
        <w:rPr>
          <w:rFonts w:cs="PT Astra Serif;Times New Roman" w:ascii="PT Astra Serif" w:hAnsi="PT Astra Serif"/>
          <w:sz w:val="28"/>
          <w:szCs w:val="28"/>
        </w:rPr>
        <w:t xml:space="preserve">ТЕРЕНЬГУЛЬСКОГО РАЙОНА </w:t>
      </w:r>
    </w:p>
    <w:p>
      <w:pPr>
        <w:pStyle w:val="Normal"/>
        <w:jc w:val="center"/>
        <w:rPr>
          <w:rFonts w:ascii="PT Astra Serif" w:hAnsi="PT Astra Serif" w:cs="PT Astra Serif;Times New Roman"/>
          <w:sz w:val="28"/>
          <w:szCs w:val="28"/>
        </w:rPr>
      </w:pPr>
      <w:r>
        <w:rPr>
          <w:rFonts w:cs="PT Astra Serif;Times New Roman" w:ascii="PT Astra Serif" w:hAnsi="PT Astra Serif"/>
          <w:sz w:val="28"/>
          <w:szCs w:val="28"/>
        </w:rPr>
        <w:t>УЛЬЯНОВСКОЙ ОБЛАСТИ</w:t>
      </w:r>
    </w:p>
    <w:p>
      <w:pPr>
        <w:pStyle w:val="Normal"/>
        <w:jc w:val="center"/>
        <w:rPr>
          <w:rFonts w:ascii="PT Astra Serif;Times New Roman" w:hAnsi="PT Astra Serif;Times New Roman" w:cs="PT Astra Serif;Times New Roman"/>
          <w:sz w:val="28"/>
          <w:szCs w:val="28"/>
        </w:rPr>
      </w:pPr>
      <w:r>
        <w:rPr>
          <w:rFonts w:cs="PT Astra Serif;Times New Roman" w:ascii="PT Astra Serif;Times New Roman" w:hAnsi="PT Astra Serif;Times New Roman"/>
          <w:sz w:val="28"/>
          <w:szCs w:val="28"/>
        </w:rPr>
      </w:r>
    </w:p>
    <w:p>
      <w:pPr>
        <w:pStyle w:val="Normal"/>
        <w:jc w:val="center"/>
        <w:rPr>
          <w:rFonts w:ascii="PT Astra Serif;Times New Roman" w:hAnsi="PT Astra Serif;Times New Roman" w:cs="PT Astra Serif;Times New Roman"/>
          <w:sz w:val="28"/>
          <w:szCs w:val="28"/>
        </w:rPr>
      </w:pPr>
      <w:r>
        <w:rPr>
          <w:rFonts w:cs="PT Astra Serif;Times New Roman" w:ascii="PT Astra Serif;Times New Roman" w:hAnsi="PT Astra Serif;Times New Roman"/>
          <w:sz w:val="28"/>
          <w:szCs w:val="28"/>
        </w:rPr>
      </w:r>
    </w:p>
    <w:p>
      <w:pPr>
        <w:pStyle w:val="Normal"/>
        <w:jc w:val="center"/>
        <w:rPr>
          <w:rFonts w:ascii="PT Astra Serif" w:hAnsi="PT Astra Serif" w:cs="PT Astra Serif;Times New Roman"/>
          <w:b/>
          <w:bCs/>
          <w:sz w:val="28"/>
          <w:szCs w:val="28"/>
        </w:rPr>
      </w:pPr>
      <w:r>
        <w:rPr>
          <w:rFonts w:cs="PT Astra Serif;Times New Roman" w:ascii="PT Astra Serif" w:hAnsi="PT Astra Serif"/>
          <w:b/>
          <w:bCs/>
          <w:sz w:val="28"/>
          <w:szCs w:val="28"/>
        </w:rPr>
        <w:t>РЕШЕНИЕ</w:t>
      </w:r>
    </w:p>
    <w:p>
      <w:pPr>
        <w:pStyle w:val="Normal"/>
        <w:jc w:val="center"/>
        <w:rPr>
          <w:rFonts w:ascii="PT Astra Serif;Times New Roman" w:hAnsi="PT Astra Serif;Times New Roman" w:cs="PT Astra Serif;Times New Roman"/>
          <w:sz w:val="28"/>
          <w:szCs w:val="28"/>
        </w:rPr>
      </w:pPr>
      <w:r>
        <w:rPr>
          <w:rFonts w:cs="PT Astra Serif;Times New Roman" w:ascii="PT Astra Serif;Times New Roman" w:hAnsi="PT Astra Serif;Times New Roman"/>
          <w:sz w:val="28"/>
          <w:szCs w:val="28"/>
        </w:rPr>
      </w:r>
    </w:p>
    <w:p>
      <w:pPr>
        <w:pStyle w:val="Normal"/>
        <w:jc w:val="start"/>
        <w:rPr>
          <w:rFonts w:ascii="PT Astra Serif;Times New Roman" w:hAnsi="PT Astra Serif;Times New Roman" w:cs="PT Astra Serif;Times New Roman"/>
          <w:sz w:val="28"/>
          <w:szCs w:val="28"/>
        </w:rPr>
      </w:pPr>
      <w:r>
        <w:rPr>
          <w:rFonts w:cs="PT Astra Serif;Times New Roman" w:ascii="PT Astra Serif;Times New Roman" w:hAnsi="PT Astra Serif;Times New Roman"/>
          <w:sz w:val="28"/>
          <w:szCs w:val="28"/>
        </w:rPr>
        <w:t xml:space="preserve">    </w:t>
      </w:r>
      <w:r>
        <w:rPr>
          <w:rFonts w:cs="PT Astra Serif;Times New Roman" w:ascii="PT Astra Serif" w:hAnsi="PT Astra Serif"/>
          <w:sz w:val="28"/>
          <w:szCs w:val="28"/>
        </w:rPr>
        <w:t>29 октября 2024г.                                                                              №14/50</w:t>
      </w:r>
    </w:p>
    <w:p>
      <w:pPr>
        <w:pStyle w:val="Normal"/>
        <w:jc w:val="start"/>
        <w:rPr>
          <w:rFonts w:ascii="PT Astra Serif" w:hAnsi="PT Astra Serif" w:cs="PT Astra Serif;Times New Roman"/>
          <w:sz w:val="28"/>
          <w:szCs w:val="28"/>
        </w:rPr>
      </w:pPr>
      <w:r>
        <w:rPr>
          <w:rFonts w:cs="PT Astra Serif;Times New Roman" w:ascii="PT Astra Serif" w:hAnsi="PT Astra Serif"/>
          <w:sz w:val="28"/>
          <w:szCs w:val="28"/>
        </w:rPr>
      </w:r>
    </w:p>
    <w:p>
      <w:pPr>
        <w:pStyle w:val="Normal"/>
        <w:jc w:val="center"/>
        <w:rPr>
          <w:rFonts w:ascii="PT Astra Serif" w:hAnsi="PT Astra Serif" w:cs="PT Astra Serif;Times New Roman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PT Astra Serif;Times New Roman" w:ascii="PT Astra Serif" w:hAnsi="PT Astra Serif"/>
          <w:b w:val="false"/>
          <w:bCs w:val="false"/>
          <w:i w:val="false"/>
          <w:iCs w:val="false"/>
          <w:sz w:val="24"/>
          <w:szCs w:val="24"/>
        </w:rPr>
        <w:t>р.п.Тереньга</w:t>
      </w:r>
    </w:p>
    <w:p>
      <w:pPr>
        <w:pStyle w:val="Normal"/>
        <w:jc w:val="center"/>
        <w:rPr>
          <w:rFonts w:ascii="PT Astra Serif;Times New Roman" w:hAnsi="PT Astra Serif;Times New Roman" w:cs="PT Astra Serif;Times New Roman"/>
          <w:b/>
          <w:i/>
          <w:i/>
          <w:sz w:val="28"/>
          <w:szCs w:val="28"/>
        </w:rPr>
      </w:pPr>
      <w:r>
        <w:rPr>
          <w:rFonts w:cs="PT Astra Serif;Times New Roman" w:ascii="PT Astra Serif;Times New Roman" w:hAnsi="PT Astra Serif;Times New Roman"/>
          <w:b/>
          <w:i/>
          <w:sz w:val="28"/>
          <w:szCs w:val="28"/>
        </w:rPr>
      </w:r>
    </w:p>
    <w:p>
      <w:pPr>
        <w:pStyle w:val="Normal"/>
        <w:autoSpaceDE w:val="fals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согласовании увеличения предельных (максимальных) </w:t>
      </w:r>
    </w:p>
    <w:p>
      <w:pPr>
        <w:pStyle w:val="Normal"/>
        <w:autoSpaceDE w:val="false"/>
        <w:jc w:val="center"/>
        <w:rPr/>
      </w:pPr>
      <w:r>
        <w:rPr>
          <w:b/>
          <w:bCs/>
          <w:sz w:val="28"/>
          <w:szCs w:val="28"/>
        </w:rPr>
        <w:t xml:space="preserve">индексов изменения размера вносимой гражданами платы за коммунальные услуги в муниципальном образовании </w:t>
      </w:r>
      <w:bookmarkStart w:id="0" w:name="_Hlk115170060"/>
      <w:r>
        <w:rPr>
          <w:b/>
          <w:bCs/>
          <w:sz w:val="28"/>
          <w:szCs w:val="28"/>
        </w:rPr>
        <w:t xml:space="preserve"> «Тереньгульское городское поселение» Тереньгульского района Ульяновской области</w:t>
      </w:r>
      <w:bookmarkEnd w:id="0"/>
    </w:p>
    <w:p>
      <w:pPr>
        <w:pStyle w:val="Normal"/>
        <w:ind w:hanging="0" w:start="0" w:end="3259"/>
        <w:jc w:val="center"/>
        <w:rPr>
          <w:rFonts w:ascii="PT Astra Serif;Times New Roman" w:hAnsi="PT Astra Serif;Times New Roman" w:cs="PT Astra Serif;Times New Roman"/>
          <w:b/>
          <w:bCs/>
          <w:i/>
          <w:i/>
          <w:sz w:val="28"/>
          <w:szCs w:val="28"/>
        </w:rPr>
      </w:pPr>
      <w:r>
        <w:rPr>
          <w:rFonts w:cs="PT Astra Serif;Times New Roman" w:ascii="PT Astra Serif;Times New Roman" w:hAnsi="PT Astra Serif;Times New Roman"/>
          <w:b/>
          <w:bCs/>
          <w:i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tLeast" w:line="100"/>
        <w:ind w:firstLine="567" w:start="0" w:end="0"/>
        <w:jc w:val="both"/>
        <w:rPr/>
      </w:pPr>
      <w:r>
        <w:rPr>
          <w:bCs/>
          <w:sz w:val="28"/>
          <w:szCs w:val="28"/>
        </w:rPr>
        <w:t>Во исполнение Федерального закона от 28.12.2013 № 417-ФЗ «О внесении изменений в Жилищный кодекс Российской Федерации и в отдельные законодательные акты Российской Федерации» в части ограничения темпов роста вносимой гражданами платы за коммунальные услуги в Российской Федерации, «Основ формирования индексов изменения размера платы граждан за коммунальные услуги в Российской Федерации», утвержденных постановлением Правительства Российской Федерации от 30 апреля 2014 года № 400</w:t>
      </w:r>
      <w:r>
        <w:rPr>
          <w:sz w:val="28"/>
          <w:szCs w:val="28"/>
        </w:rPr>
        <w:t xml:space="preserve">, в соответствии с Уставом муниципального образования «Тереньгульское городское поселение», </w:t>
      </w:r>
      <w:r>
        <w:rPr>
          <w:rStyle w:val="Style16"/>
          <w:rFonts w:cs="PT Astra Serif;Times New Roman" w:ascii="PT Astra Serif;Times New Roman" w:hAnsi="PT Astra Serif;Times New Roman"/>
          <w:bCs/>
          <w:color w:val="000000"/>
          <w:sz w:val="28"/>
          <w:szCs w:val="28"/>
        </w:rPr>
        <w:t xml:space="preserve">Совет депутатов муниципального образования «Тереньгульское городское поселение» </w:t>
      </w:r>
      <w:r>
        <w:rPr>
          <w:rStyle w:val="Style16"/>
          <w:rFonts w:cs="PT Astra Serif;Times New Roman" w:ascii="PT Astra Serif;Times New Roman" w:hAnsi="PT Astra Serif;Times New Roman"/>
          <w:b w:val="false"/>
          <w:bCs w:val="false"/>
          <w:color w:val="000000"/>
          <w:sz w:val="28"/>
          <w:szCs w:val="28"/>
        </w:rPr>
        <w:t>решил:</w:t>
      </w:r>
    </w:p>
    <w:p>
      <w:pPr>
        <w:pStyle w:val="Normal"/>
        <w:ind w:firstLine="708" w:start="0" w:end="0"/>
        <w:jc w:val="both"/>
        <w:rPr/>
      </w:pPr>
      <w:r>
        <w:rPr>
          <w:rFonts w:cs="PT Astra Serif;Times New Roman" w:ascii="PT Astra Serif;Times New Roman" w:hAnsi="PT Astra Serif;Times New Roman"/>
          <w:sz w:val="28"/>
          <w:szCs w:val="28"/>
        </w:rPr>
        <w:t xml:space="preserve">1. Согласовать </w:t>
      </w:r>
      <w:r>
        <w:rPr>
          <w:rFonts w:cs="PT Astra Serif;Times New Roman" w:ascii="PT Astra Serif;Times New Roman" w:hAnsi="PT Astra Serif;Times New Roman"/>
          <w:bCs/>
          <w:sz w:val="28"/>
          <w:szCs w:val="28"/>
        </w:rPr>
        <w:t xml:space="preserve">увеличение </w:t>
      </w:r>
      <w:r>
        <w:rPr>
          <w:rFonts w:cs="PT Astra Serif;Times New Roman" w:ascii="PT Astra Serif;Times New Roman" w:hAnsi="PT Astra Serif;Times New Roman"/>
          <w:sz w:val="28"/>
          <w:szCs w:val="28"/>
        </w:rPr>
        <w:t xml:space="preserve">предельного индекса изменения размера платы граждан за коммунальные ресурсы (водоснабжение и водоотведение) с 01 июля 2025 года в муниципальном образовании «Тереньгульское городское поселение»  </w:t>
      </w:r>
      <w:r>
        <w:rPr>
          <w:rFonts w:cs="PT Astra Serif;Times New Roman" w:ascii="PT Astra Serif;Times New Roman" w:hAnsi="PT Astra Serif;Times New Roman"/>
          <w:bCs/>
          <w:sz w:val="28"/>
          <w:szCs w:val="28"/>
        </w:rPr>
        <w:t>Тереньгульского района на 2%.</w:t>
      </w:r>
    </w:p>
    <w:p>
      <w:pPr>
        <w:pStyle w:val="Normal"/>
        <w:ind w:firstLine="567" w:start="0" w:end="0"/>
        <w:jc w:val="both"/>
        <w:rPr/>
      </w:pPr>
      <w:r>
        <w:rPr>
          <w:rFonts w:cs="PT Astra Serif;Times New Roman" w:ascii="PT Astra Serif;Times New Roman" w:hAnsi="PT Astra Serif;Times New Roman"/>
          <w:sz w:val="28"/>
          <w:szCs w:val="28"/>
        </w:rPr>
        <w:t>2</w:t>
      </w:r>
      <w:r>
        <w:rPr>
          <w:rFonts w:cs="PT Astra Serif;Times New Roman" w:ascii="PT Astra Serif;Times New Roman" w:hAnsi="PT Astra Serif;Times New Roman"/>
          <w:sz w:val="28"/>
          <w:szCs w:val="28"/>
          <w:lang w:val="zxx"/>
        </w:rPr>
        <w:t>. Настоящее решение вступает в силу на следующий день после дня его опубликования в информационном бюллетене «Вестник района».</w:t>
      </w:r>
    </w:p>
    <w:p>
      <w:pPr>
        <w:pStyle w:val="Normal"/>
        <w:jc w:val="both"/>
        <w:rPr>
          <w:rFonts w:ascii="PT Astra Serif;Times New Roman" w:hAnsi="PT Astra Serif;Times New Roman" w:cs="PT Astra Serif;Times New Roman"/>
          <w:sz w:val="28"/>
          <w:szCs w:val="28"/>
          <w:lang w:val="zxx"/>
        </w:rPr>
      </w:pPr>
      <w:r>
        <w:rPr>
          <w:rFonts w:cs="PT Astra Serif;Times New Roman" w:ascii="PT Astra Serif;Times New Roman" w:hAnsi="PT Astra Serif;Times New Roman"/>
          <w:sz w:val="28"/>
          <w:szCs w:val="28"/>
          <w:lang w:val="zxx"/>
        </w:rPr>
      </w:r>
    </w:p>
    <w:p>
      <w:pPr>
        <w:pStyle w:val="Normal"/>
        <w:ind w:firstLine="567" w:start="0" w:end="0"/>
        <w:jc w:val="both"/>
        <w:rPr>
          <w:rFonts w:ascii="PT Astra Serif;Times New Roman" w:hAnsi="PT Astra Serif;Times New Roman" w:cs="PT Astra Serif;Times New Roman"/>
          <w:sz w:val="28"/>
          <w:szCs w:val="28"/>
          <w:lang w:val="zxx"/>
        </w:rPr>
      </w:pPr>
      <w:r>
        <w:rPr>
          <w:rFonts w:cs="PT Astra Serif;Times New Roman" w:ascii="PT Astra Serif;Times New Roman" w:hAnsi="PT Astra Serif;Times New Roman"/>
          <w:sz w:val="28"/>
          <w:szCs w:val="28"/>
          <w:lang w:val="zxx"/>
        </w:rPr>
      </w:r>
    </w:p>
    <w:p>
      <w:pPr>
        <w:pStyle w:val="Standard"/>
        <w:tabs>
          <w:tab w:val="clear" w:pos="708"/>
          <w:tab w:val="left" w:pos="30" w:leader="none"/>
        </w:tabs>
        <w:ind w:firstLine="567" w:start="0" w:end="0"/>
        <w:rPr>
          <w:rFonts w:ascii="PT Astra Serif;Times New Roman" w:hAnsi="PT Astra Serif;Times New Roman" w:cs="PT Astra Serif;Times New Roman"/>
          <w:spacing w:val="2"/>
          <w:sz w:val="28"/>
          <w:szCs w:val="28"/>
          <w:shd w:fill="FFFFFF" w:val="clear"/>
          <w:lang w:val="zxx"/>
        </w:rPr>
      </w:pPr>
      <w:r>
        <w:rPr>
          <w:rFonts w:cs="PT Astra Serif;Times New Roman" w:ascii="PT Astra Serif;Times New Roman" w:hAnsi="PT Astra Serif;Times New Roman"/>
          <w:spacing w:val="2"/>
          <w:sz w:val="28"/>
          <w:szCs w:val="28"/>
          <w:shd w:fill="FFFFFF" w:val="clear"/>
          <w:lang w:val="zxx"/>
        </w:rPr>
      </w:r>
    </w:p>
    <w:p>
      <w:pPr>
        <w:pStyle w:val="Style26"/>
        <w:shd w:fill="FFFFFF" w:val="clear"/>
        <w:spacing w:lineRule="auto" w:line="276" w:before="0" w:after="0"/>
        <w:ind w:hanging="0" w:start="0" w:end="29"/>
        <w:jc w:val="both"/>
        <w:rPr>
          <w:rFonts w:ascii="PT Astra Serif;Times New Roman" w:hAnsi="PT Astra Serif;Times New Roman" w:cs="PT Astra Serif;Times New Roman"/>
          <w:sz w:val="28"/>
          <w:szCs w:val="28"/>
        </w:rPr>
      </w:pPr>
      <w:r>
        <w:rPr>
          <w:rFonts w:cs="PT Astra Serif;Times New Roman" w:ascii="PT Astra Serif;Times New Roman" w:hAnsi="PT Astra Serif;Times New Roman"/>
          <w:sz w:val="28"/>
          <w:szCs w:val="28"/>
        </w:rPr>
        <w:t>Глава муниципального образования</w:t>
      </w:r>
    </w:p>
    <w:p>
      <w:pPr>
        <w:pStyle w:val="Style26"/>
        <w:shd w:fill="FFFFFF" w:val="clear"/>
        <w:spacing w:lineRule="auto" w:line="276" w:before="0" w:after="0"/>
        <w:ind w:hanging="0" w:start="0" w:end="29"/>
        <w:jc w:val="both"/>
        <w:rPr>
          <w:rFonts w:ascii="PT Astra Serif;Times New Roman" w:hAnsi="PT Astra Serif;Times New Roman" w:cs="PT Astra Serif;Times New Roman"/>
          <w:sz w:val="28"/>
          <w:szCs w:val="28"/>
        </w:rPr>
      </w:pPr>
      <w:r>
        <w:rPr>
          <w:rFonts w:cs="PT Astra Serif;Times New Roman" w:ascii="PT Astra Serif;Times New Roman" w:hAnsi="PT Astra Serif;Times New Roman"/>
          <w:sz w:val="28"/>
          <w:szCs w:val="28"/>
        </w:rPr>
        <w:t>«Тереньгульское городское поселение»                             Л.Е. Астайкина</w:t>
      </w:r>
    </w:p>
    <w:p>
      <w:pPr>
        <w:pStyle w:val="Style26"/>
        <w:shd w:fill="FFFFFF" w:val="clear"/>
        <w:spacing w:lineRule="auto" w:line="276" w:before="0" w:after="0"/>
        <w:ind w:hanging="0" w:start="0" w:end="29"/>
        <w:jc w:val="both"/>
        <w:rPr>
          <w:rFonts w:ascii="PT Astra Serif;Times New Roman" w:hAnsi="PT Astra Serif;Times New Roman" w:cs="PT Astra Serif;Times New Roman"/>
          <w:sz w:val="28"/>
          <w:szCs w:val="28"/>
        </w:rPr>
      </w:pPr>
      <w:r>
        <w:rPr>
          <w:rFonts w:cs="PT Astra Serif;Times New Roman" w:ascii="PT Astra Serif;Times New Roman" w:hAnsi="PT Astra Serif;Times New Roman"/>
          <w:sz w:val="28"/>
          <w:szCs w:val="28"/>
        </w:rPr>
      </w:r>
    </w:p>
    <w:p>
      <w:pPr>
        <w:pStyle w:val="Style26"/>
        <w:shd w:fill="FFFFFF" w:val="clear"/>
        <w:spacing w:lineRule="auto" w:line="276" w:before="0" w:after="0"/>
        <w:ind w:hanging="0" w:start="0" w:end="29"/>
        <w:jc w:val="both"/>
        <w:rPr>
          <w:rFonts w:ascii="PT Astra Serif;Times New Roman" w:hAnsi="PT Astra Serif;Times New Roman" w:cs="PT Astra Serif;Times New Roman"/>
          <w:sz w:val="28"/>
          <w:szCs w:val="28"/>
        </w:rPr>
      </w:pPr>
      <w:r>
        <w:rPr>
          <w:rFonts w:cs="PT Astra Serif;Times New Roman" w:ascii="PT Astra Serif;Times New Roman" w:hAnsi="PT Astra Serif;Times New Roman"/>
          <w:sz w:val="28"/>
          <w:szCs w:val="28"/>
        </w:rPr>
      </w:r>
    </w:p>
    <w:p>
      <w:pPr>
        <w:pStyle w:val="Style26"/>
        <w:shd w:fill="FFFFFF" w:val="clear"/>
        <w:spacing w:lineRule="auto" w:line="276" w:before="0" w:after="0"/>
        <w:ind w:hanging="0" w:start="0" w:end="29"/>
        <w:jc w:val="both"/>
        <w:rPr>
          <w:rFonts w:ascii="PT Astra Serif;Times New Roman" w:hAnsi="PT Astra Serif;Times New Roman" w:cs="PT Astra Serif;Times New Roman"/>
          <w:sz w:val="28"/>
          <w:szCs w:val="28"/>
        </w:rPr>
      </w:pPr>
      <w:r>
        <w:rPr>
          <w:rFonts w:cs="PT Astra Serif;Times New Roman" w:ascii="PT Astra Serif;Times New Roman" w:hAnsi="PT Astra Serif;Times New Roman"/>
          <w:sz w:val="28"/>
          <w:szCs w:val="28"/>
        </w:rPr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Calibri Light">
    <w:altName w:val="Calibri"/>
    <w:charset w:val="01" w:characterSet="utf-8"/>
    <w:family w:val="swiss"/>
    <w:pitch w:val="variable"/>
  </w:font>
  <w:font w:name="Courier New">
    <w:charset w:val="01" w:characterSet="utf-8"/>
    <w:family w:val="modern"/>
    <w:pitch w:val="default"/>
  </w:font>
  <w:font w:name="OpenSymbol">
    <w:altName w:val="Arial Unicode MS"/>
    <w:charset w:val="01" w:characterSet="utf-8"/>
    <w:family w:val="auto"/>
    <w:pitch w:val="variable"/>
  </w:font>
  <w:font w:name="Arial">
    <w:charset w:val="01" w:characterSet="utf-8"/>
    <w:family w:val="swiss"/>
    <w:pitch w:val="variable"/>
  </w:font>
  <w:font w:name="Tahoma">
    <w:charset w:val="01" w:characterSet="utf-8"/>
    <w:family w:val="swiss"/>
    <w:pitch w:val="variable"/>
  </w:font>
  <w:font w:name="Calibri">
    <w:charset w:val="01" w:characterSet="utf-8"/>
    <w:family w:val="swiss"/>
    <w:pitch w:val="variable"/>
  </w:font>
  <w:font w:name="PT Astra Serif">
    <w:charset w:val="01" w:characterSet="utf-8"/>
    <w:family w:val="roman"/>
    <w:pitch w:val="variable"/>
  </w:font>
  <w:font w:name="PT Astra Serif">
    <w:altName w:val="Times New Roman"/>
    <w:charset w:val="01" w:characterSet="utf-8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432" w:hanging="432"/>
      </w:pPr>
      <w:rPr/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576" w:hanging="576"/>
      </w:pPr>
      <w:rPr/>
    </w:lvl>
    <w:lvl w:ilvl="2">
      <w:start w:val="1"/>
      <w:pStyle w:val="Heading3"/>
      <w:numFmt w:val="none"/>
      <w:suff w:val="nothing"/>
      <w:lvlText w:val="%3"/>
      <w:lvlJc w:val="start"/>
      <w:pPr>
        <w:tabs>
          <w:tab w:val="num" w:pos="0"/>
        </w:tabs>
        <w:ind w:start="720" w:hanging="720"/>
      </w:pPr>
      <w:rPr/>
    </w:lvl>
    <w:lvl w:ilvl="3">
      <w:start w:val="1"/>
      <w:numFmt w:val="none"/>
      <w:suff w:val="nothing"/>
      <w:lvlText w:val="%4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%5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%6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%7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%8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%9"/>
      <w:lvlJc w:val="start"/>
      <w:pPr>
        <w:tabs>
          <w:tab w:val="num" w:pos="1584"/>
        </w:tabs>
        <w:ind w:star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4"/>
  <w:displayBackgroundShape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Calibri Light;Calibri" w:hAnsi="Calibri Light;Calibri" w:eastAsia="Times New Roman" w:cs="Times New Roman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szCs w:val="20"/>
      <w:lang w:val="zxx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sz w:val="28"/>
      <w:lang w:val="uk-U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1">
    <w:name w:val="Основной шрифт абзаца"/>
    <w:qFormat/>
    <w:rPr/>
  </w:style>
  <w:style w:type="character" w:styleId="4">
    <w:name w:val="Основной шрифт абзаца4"/>
    <w:qFormat/>
    <w:rPr/>
  </w:style>
  <w:style w:type="character" w:styleId="3">
    <w:name w:val="Основной шрифт абзаца3"/>
    <w:qFormat/>
    <w:rPr/>
  </w:style>
  <w:style w:type="character" w:styleId="2">
    <w:name w:val="Основной шрифт абзаца2"/>
    <w:qFormat/>
    <w:rPr/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>
      <w:rFonts w:ascii="Times New Roman" w:hAnsi="Times New Roman" w:cs="Times New Roman"/>
      <w:sz w:val="28"/>
      <w:szCs w:val="28"/>
    </w:rPr>
  </w:style>
  <w:style w:type="character" w:styleId="1">
    <w:name w:val="Основной шрифт абзаца1"/>
    <w:qFormat/>
    <w:rPr/>
  </w:style>
  <w:style w:type="character" w:styleId="31">
    <w:name w:val="Заголовок 3 Знак"/>
    <w:qFormat/>
    <w:rPr>
      <w:sz w:val="28"/>
      <w:szCs w:val="24"/>
      <w:lang w:val="uk-UA"/>
    </w:rPr>
  </w:style>
  <w:style w:type="character" w:styleId="Style12">
    <w:name w:val="Название Знак"/>
    <w:qFormat/>
    <w:rPr>
      <w:sz w:val="44"/>
    </w:rPr>
  </w:style>
  <w:style w:type="character" w:styleId="Style13">
    <w:name w:val="Верхний колонтитул Знак"/>
    <w:qFormat/>
    <w:rPr>
      <w:sz w:val="24"/>
      <w:szCs w:val="24"/>
    </w:rPr>
  </w:style>
  <w:style w:type="character" w:styleId="Style14">
    <w:name w:val="Нижний колонтитул Знак"/>
    <w:qFormat/>
    <w:rPr>
      <w:sz w:val="24"/>
      <w:szCs w:val="24"/>
    </w:rPr>
  </w:style>
  <w:style w:type="character" w:styleId="Style15">
    <w:name w:val="Текст Знак"/>
    <w:qFormat/>
    <w:rPr>
      <w:rFonts w:ascii="Courier New" w:hAnsi="Courier New" w:cs="Courier New"/>
      <w:lang w:val="zxx" w:bidi="ar-SA"/>
    </w:rPr>
  </w:style>
  <w:style w:type="character" w:styleId="PageNumber">
    <w:name w:val="Page Number"/>
    <w:basedOn w:val="1"/>
    <w:rPr/>
  </w:style>
  <w:style w:type="character" w:styleId="Hyperlink">
    <w:name w:val="Hyperlink"/>
    <w:rPr>
      <w:color w:val="0000FF"/>
      <w:u w:val="single"/>
    </w:rPr>
  </w:style>
  <w:style w:type="character" w:styleId="21">
    <w:name w:val="Основной текст (2)_"/>
    <w:qFormat/>
    <w:rPr>
      <w:sz w:val="28"/>
      <w:szCs w:val="28"/>
      <w:shd w:fill="FFFFFF" w:val="clear"/>
    </w:rPr>
  </w:style>
  <w:style w:type="character" w:styleId="Strong">
    <w:name w:val="Strong"/>
    <w:qFormat/>
    <w:rPr>
      <w:b/>
      <w:bCs/>
    </w:rPr>
  </w:style>
  <w:style w:type="character" w:styleId="11">
    <w:name w:val="Заголовок 1 Знак"/>
    <w:qFormat/>
    <w:rPr>
      <w:rFonts w:ascii="Calibri Light;Calibri" w:hAnsi="Calibri Light;Calibri" w:eastAsia="Times New Roman" w:cs="Times New Roman"/>
      <w:b/>
      <w:bCs/>
      <w:kern w:val="2"/>
      <w:sz w:val="32"/>
      <w:szCs w:val="32"/>
    </w:rPr>
  </w:style>
  <w:style w:type="character" w:styleId="Style16">
    <w:name w:val="Основной текст Знак"/>
    <w:qFormat/>
    <w:rPr>
      <w:rFonts w:ascii="Times New Roman" w:hAnsi="Times New Roman" w:cs="Times New Roman"/>
      <w:sz w:val="26"/>
      <w:szCs w:val="26"/>
      <w:u w:val="none"/>
    </w:rPr>
  </w:style>
  <w:style w:type="character" w:styleId="Style17">
    <w:name w:val="Символ нумерации"/>
    <w:qFormat/>
    <w:rPr/>
  </w:style>
  <w:style w:type="character" w:styleId="Style18">
    <w:name w:val="Маркеры"/>
    <w:qFormat/>
    <w:rPr>
      <w:rFonts w:ascii="OpenSymbol" w:hAnsi="OpenSymbol" w:eastAsia="OpenSymbol" w:cs="OpenSymbol"/>
    </w:rPr>
  </w:style>
  <w:style w:type="character" w:styleId="32">
    <w:name w:val="Основной текст (3)_"/>
    <w:qFormat/>
    <w:rPr>
      <w:rFonts w:ascii="Times New Roman" w:hAnsi="Times New Roman" w:cs="Times New Roman"/>
      <w:b/>
      <w:bCs/>
      <w:sz w:val="27"/>
      <w:szCs w:val="27"/>
      <w:u w:val="none"/>
    </w:rPr>
  </w:style>
  <w:style w:type="character" w:styleId="12">
    <w:name w:val="Основной текст Знак1"/>
    <w:basedOn w:val="4"/>
    <w:qFormat/>
    <w:rPr>
      <w:sz w:val="28"/>
      <w:szCs w:val="28"/>
      <w:lang w:val="zxx" w:eastAsia="zh-CN"/>
    </w:rPr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BodyText">
    <w:name w:val="Body Text"/>
    <w:basedOn w:val="Normal"/>
    <w:pPr>
      <w:tabs>
        <w:tab w:val="clear" w:pos="708"/>
        <w:tab w:val="left" w:pos="-2700" w:leader="none"/>
      </w:tabs>
      <w:jc w:val="both"/>
    </w:pPr>
    <w:rPr>
      <w:sz w:val="28"/>
      <w:szCs w:val="28"/>
      <w:lang w:val="zxx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Название объекта"/>
    <w:basedOn w:val="Normal"/>
    <w:qFormat/>
    <w:pPr>
      <w:suppressLineNumbers/>
      <w:spacing w:before="120" w:after="120"/>
    </w:pPr>
    <w:rPr>
      <w:rFonts w:cs="Droid Sans Devanagari;Arial"/>
      <w:i/>
      <w:iCs/>
      <w:sz w:val="24"/>
      <w:szCs w:val="24"/>
    </w:rPr>
  </w:style>
  <w:style w:type="paragraph" w:styleId="41">
    <w:name w:val="Указатель4"/>
    <w:basedOn w:val="Normal"/>
    <w:qFormat/>
    <w:pPr>
      <w:suppressLineNumbers/>
    </w:pPr>
    <w:rPr>
      <w:rFonts w:cs="Droid Sans Devanagari;Arial"/>
    </w:rPr>
  </w:style>
  <w:style w:type="paragraph" w:styleId="22">
    <w:name w:val="Название объекта2"/>
    <w:basedOn w:val="Normal"/>
    <w:qFormat/>
    <w:pPr>
      <w:suppressLineNumbers/>
      <w:spacing w:before="120" w:after="120"/>
    </w:pPr>
    <w:rPr>
      <w:rFonts w:cs="Droid Sans Devanagari;Arial"/>
      <w:i/>
      <w:iCs/>
      <w:sz w:val="24"/>
      <w:szCs w:val="24"/>
    </w:rPr>
  </w:style>
  <w:style w:type="paragraph" w:styleId="33">
    <w:name w:val="Указатель3"/>
    <w:basedOn w:val="Normal"/>
    <w:qFormat/>
    <w:pPr>
      <w:suppressLineNumbers/>
    </w:pPr>
    <w:rPr>
      <w:rFonts w:cs="Droid Sans Devanagari;Arial"/>
    </w:rPr>
  </w:style>
  <w:style w:type="paragraph" w:styleId="13">
    <w:name w:val="Название объекта1"/>
    <w:basedOn w:val="Normal"/>
    <w:next w:val="Subtitle"/>
    <w:qFormat/>
    <w:pPr>
      <w:jc w:val="center"/>
    </w:pPr>
    <w:rPr>
      <w:sz w:val="44"/>
      <w:szCs w:val="20"/>
      <w:lang w:val="zxx"/>
    </w:rPr>
  </w:style>
  <w:style w:type="paragraph" w:styleId="Subtitle">
    <w:name w:val="Subtitle"/>
    <w:basedOn w:val="Style19"/>
    <w:next w:val="BodyText"/>
    <w:qFormat/>
    <w:pPr>
      <w:jc w:val="center"/>
    </w:pPr>
    <w:rPr>
      <w:i/>
      <w:iCs/>
      <w:sz w:val="28"/>
      <w:szCs w:val="28"/>
    </w:rPr>
  </w:style>
  <w:style w:type="paragraph" w:styleId="23">
    <w:name w:val="Указатель2"/>
    <w:basedOn w:val="Normal"/>
    <w:qFormat/>
    <w:pPr>
      <w:suppressLineNumbers/>
    </w:pPr>
    <w:rPr>
      <w:rFonts w:cs="Mangal"/>
    </w:rPr>
  </w:style>
  <w:style w:type="paragraph" w:styleId="14">
    <w:name w:val="Название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>
    <w:name w:val="Указатель1"/>
    <w:basedOn w:val="Normal"/>
    <w:qFormat/>
    <w:pPr>
      <w:suppressLineNumbers/>
    </w:pPr>
    <w:rPr>
      <w:rFonts w:cs="Arial"/>
    </w:rPr>
  </w:style>
  <w:style w:type="paragraph" w:styleId="Style22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3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zxx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zxx"/>
    </w:rPr>
  </w:style>
  <w:style w:type="paragraph" w:styleId="16">
    <w:name w:val="Текст1"/>
    <w:basedOn w:val="Normal"/>
    <w:qFormat/>
    <w:pPr/>
    <w:rPr>
      <w:rFonts w:ascii="Courier New" w:hAnsi="Courier New" w:cs="Courier New"/>
      <w:sz w:val="20"/>
      <w:szCs w:val="20"/>
      <w:lang w:val="zxx"/>
    </w:rPr>
  </w:style>
  <w:style w:type="paragraph" w:styleId="Standard">
    <w:name w:val="Standard"/>
    <w:qFormat/>
    <w:pPr>
      <w:widowControl/>
      <w:suppressAutoHyphens w:val="true"/>
      <w:kinsoku w:val="true"/>
      <w:overflowPunct w:val="true"/>
      <w:autoSpaceDE w:val="true"/>
      <w:bidi w:val="0"/>
      <w:jc w:val="both"/>
      <w:textAlignment w:val="baseline"/>
    </w:pPr>
    <w:rPr>
      <w:rFonts w:ascii="Times New Roman" w:hAnsi="Times New Roman" w:eastAsia="Arial" w:cs="Times New Roman"/>
      <w:color w:val="auto"/>
      <w:kern w:val="2"/>
      <w:sz w:val="24"/>
      <w:szCs w:val="20"/>
      <w:lang w:val="ru-RU" w:eastAsia="zh-CN" w:bidi="hi-IN"/>
    </w:rPr>
  </w:style>
  <w:style w:type="paragraph" w:styleId="Style24">
    <w:name w:val="Без интервала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Calibri" w:hAnsi="Calibri" w:eastAsia="Times New Roman" w:cs="Calibri"/>
      <w:color w:val="000000"/>
      <w:sz w:val="22"/>
      <w:szCs w:val="22"/>
      <w:lang w:val="ru-RU" w:eastAsia="zh-CN" w:bidi="ar-SA"/>
    </w:rPr>
  </w:style>
  <w:style w:type="paragraph" w:styleId="Style25">
    <w:name w:val="Абзац списка"/>
    <w:basedOn w:val="Normal"/>
    <w:qFormat/>
    <w:pPr>
      <w:ind w:hanging="0" w:start="708" w:end="0"/>
    </w:pPr>
    <w:rPr>
      <w:rFonts w:cs="@FZLanTingHeiS-UL-GB;@Microsoft YaHei"/>
      <w:color w:val="000000"/>
    </w:rPr>
  </w:style>
  <w:style w:type="paragraph" w:styleId="211">
    <w:name w:val="Основной текст (2)1"/>
    <w:basedOn w:val="Normal"/>
    <w:qFormat/>
    <w:pPr>
      <w:widowControl w:val="false"/>
      <w:shd w:fill="FFFFFF" w:val="clear"/>
      <w:spacing w:lineRule="exact" w:line="317"/>
      <w:jc w:val="center"/>
    </w:pPr>
    <w:rPr>
      <w:sz w:val="28"/>
      <w:szCs w:val="28"/>
    </w:rPr>
  </w:style>
  <w:style w:type="paragraph" w:styleId="Default">
    <w:name w:val="Default"/>
    <w:qFormat/>
    <w:pPr>
      <w:widowControl/>
      <w:suppressAutoHyphens w:val="true"/>
      <w:kinsoku w:val="true"/>
      <w:overflowPunct w:val="true"/>
      <w:autoSpaceDE w:val="false"/>
      <w:bidi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zh-CN" w:bidi="ar-SA"/>
    </w:rPr>
  </w:style>
  <w:style w:type="paragraph" w:styleId="Style26">
    <w:name w:val="Обычный (веб)"/>
    <w:basedOn w:val="Normal"/>
    <w:qFormat/>
    <w:pPr>
      <w:spacing w:before="280" w:after="280"/>
    </w:pPr>
    <w:rPr/>
  </w:style>
  <w:style w:type="paragraph" w:styleId="consplusnormal">
    <w:name w:val="consplusnormal"/>
    <w:basedOn w:val="Normal"/>
    <w:qFormat/>
    <w:pPr>
      <w:spacing w:before="280" w:after="280"/>
    </w:pPr>
    <w:rPr/>
  </w:style>
  <w:style w:type="paragraph" w:styleId="Style27">
    <w:name w:val="Содержимое таблицы"/>
    <w:basedOn w:val="Normal"/>
    <w:qFormat/>
    <w:pPr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paragraph" w:styleId="34">
    <w:name w:val="Основной текст (3)"/>
    <w:basedOn w:val="Normal"/>
    <w:qFormat/>
    <w:pPr>
      <w:widowControl w:val="false"/>
      <w:shd w:fill="FFFFFF" w:val="clear"/>
      <w:suppressAutoHyphens w:val="true"/>
      <w:spacing w:lineRule="exact" w:line="322" w:before="300" w:after="0"/>
      <w:jc w:val="center"/>
    </w:pPr>
    <w:rPr>
      <w:rFonts w:ascii="Times New Roman" w:hAnsi="Times New Roman" w:eastAsia="Courier New" w:cs="Times New Roman"/>
      <w:b/>
      <w:bCs/>
      <w:sz w:val="27"/>
      <w:szCs w:val="27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LibreOffice/24.2.6.2$Linux_X86_64 LibreOffice_project/420$Build-2</Application>
  <AppVersion>15.0000</AppVersion>
  <Pages>1</Pages>
  <Words>176</Words>
  <CharactersWithSpaces>1626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2016-03-16T13:20:00Z</dcterms:created>
  <dc:creator>User</dc:creator>
  <dc:description/>
  <dc:language>ru-RU</dc:language>
  <cp:lastModifiedBy/>
  <cp:lastPrinted>2024-10-29T16:40:16Z</cp:lastPrinted>
  <dcterms:modified xsi:type="dcterms:W3CDTF">2024-11-01T08:56:53Z</dcterms:modified>
  <cp:revision>6</cp:revision>
  <dc:subject/>
  <dc:title> </dc:title>
</cp:coreProperties>
</file>