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widowControl w:val="false"/>
        <w:suppressAutoHyphens w:val="true"/>
        <w:spacing w:before="0" w:after="0" w:line="240"/>
        <w:ind w:right="-6" w:left="0" w:firstLine="0"/>
        <w:jc w:val="center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СОВЕТ ДЕПУТАТОВ МУНИЦИПАЛЬНОГО ОБРАЗОВАНИЯ 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» </w:t>
      </w:r>
    </w:p>
    <w:p>
      <w:pPr>
        <w:widowControl w:val="false"/>
        <w:suppressAutoHyphens w:val="true"/>
        <w:spacing w:before="0" w:after="0" w:line="240"/>
        <w:ind w:right="-6" w:left="0" w:firstLine="0"/>
        <w:jc w:val="center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УЛЬЯНОВСКОЙ ОБЛАСТИ</w:t>
      </w:r>
    </w:p>
    <w:p>
      <w:pPr>
        <w:widowControl w:val="false"/>
        <w:suppressAutoHyphens w:val="true"/>
        <w:spacing w:before="0" w:after="0" w:line="240"/>
        <w:ind w:right="-6" w:left="0" w:firstLine="0"/>
        <w:jc w:val="center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-6" w:left="0" w:firstLine="0"/>
        <w:jc w:val="center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  <w:r>
        <w:rPr>
          <w:rFonts w:ascii="PT Astra Serif" w:hAnsi="PT Astra Serif" w:cs="PT Astra Serif" w:eastAsia="PT Astra Serif"/>
          <w:b/>
          <w:color w:val="00000A"/>
          <w:spacing w:val="0"/>
          <w:position w:val="0"/>
          <w:sz w:val="28"/>
          <w:shd w:fill="auto" w:val="clear"/>
        </w:rPr>
        <w:t xml:space="preserve">РЕШЕНИЕ</w:t>
      </w:r>
    </w:p>
    <w:p>
      <w:pPr>
        <w:widowControl w:val="false"/>
        <w:suppressAutoHyphens w:val="true"/>
        <w:spacing w:before="0" w:after="0" w:line="240"/>
        <w:ind w:right="-6" w:left="0" w:firstLine="0"/>
        <w:jc w:val="left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-6" w:left="0" w:firstLine="0"/>
        <w:jc w:val="right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08 июня 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2023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г.                                                                          №56/22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     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4"/>
          <w:shd w:fill="auto" w:val="clear"/>
        </w:rPr>
        <w:t xml:space="preserve"> 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4"/>
          <w:shd w:fill="auto" w:val="clear"/>
        </w:rPr>
        <w:t xml:space="preserve">Экз.№____</w:t>
      </w:r>
    </w:p>
    <w:p>
      <w:pPr>
        <w:widowControl w:val="false"/>
        <w:suppressAutoHyphens w:val="true"/>
        <w:spacing w:before="0" w:after="0" w:line="240"/>
        <w:ind w:right="-6" w:left="0" w:firstLine="0"/>
        <w:jc w:val="center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4"/>
          <w:shd w:fill="auto" w:val="clear"/>
        </w:rPr>
        <w:t xml:space="preserve">р.п. Тереньга</w:t>
      </w:r>
    </w:p>
    <w:p>
      <w:pPr>
        <w:widowControl w:val="false"/>
        <w:suppressAutoHyphens w:val="true"/>
        <w:spacing w:before="0" w:after="0" w:line="240"/>
        <w:ind w:right="-6" w:left="0" w:firstLine="0"/>
        <w:jc w:val="center"/>
        <w:rPr>
          <w:rFonts w:ascii="PT Astra Serif" w:hAnsi="PT Astra Serif" w:cs="PT Astra Serif" w:eastAsia="PT Astra Serif"/>
          <w:color w:val="00000A"/>
          <w:spacing w:val="0"/>
          <w:position w:val="0"/>
          <w:sz w:val="24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-6" w:left="0" w:firstLine="0"/>
        <w:jc w:val="center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-6" w:left="0" w:firstLine="0"/>
        <w:jc w:val="center"/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4"/>
          <w:shd w:fill="auto" w:val="clear"/>
        </w:rPr>
      </w:pPr>
      <w:r>
        <w:rPr>
          <w:rFonts w:ascii="PT Astra Serif" w:hAnsi="PT Astra Serif" w:cs="PT Astra Serif" w:eastAsia="PT Astra Serif"/>
          <w:b/>
          <w:color w:val="00000A"/>
          <w:spacing w:val="0"/>
          <w:position w:val="0"/>
          <w:sz w:val="28"/>
          <w:shd w:fill="auto" w:val="clear"/>
        </w:rPr>
        <w:t xml:space="preserve">О премировании председателя  Контрольно — счётной палаты муниципального образования </w:t>
      </w:r>
      <w:r>
        <w:rPr>
          <w:rFonts w:ascii="PT Astra Serif" w:hAnsi="PT Astra Serif" w:cs="PT Astra Serif" w:eastAsia="PT Astra Serif"/>
          <w:b/>
          <w:color w:val="00000A"/>
          <w:spacing w:val="0"/>
          <w:position w:val="0"/>
          <w:sz w:val="28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b/>
          <w:color w:val="00000A"/>
          <w:spacing w:val="0"/>
          <w:position w:val="0"/>
          <w:sz w:val="28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b/>
          <w:color w:val="00000A"/>
          <w:spacing w:val="0"/>
          <w:position w:val="0"/>
          <w:sz w:val="28"/>
          <w:shd w:fill="auto" w:val="clear"/>
        </w:rPr>
        <w:t xml:space="preserve">» </w:t>
      </w:r>
    </w:p>
    <w:p>
      <w:pPr>
        <w:widowControl w:val="false"/>
        <w:suppressAutoHyphens w:val="true"/>
        <w:spacing w:before="0" w:after="0" w:line="240"/>
        <w:ind w:right="-6" w:left="0" w:firstLine="0"/>
        <w:jc w:val="center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  <w:r>
        <w:rPr>
          <w:rFonts w:ascii="PT Astra Serif" w:hAnsi="PT Astra Serif" w:cs="PT Astra Serif" w:eastAsia="PT Astra Serif"/>
          <w:b/>
          <w:color w:val="00000A"/>
          <w:spacing w:val="0"/>
          <w:position w:val="0"/>
          <w:sz w:val="28"/>
          <w:shd w:fill="auto" w:val="clear"/>
        </w:rPr>
        <w:t xml:space="preserve">Ульяновской области</w:t>
      </w:r>
    </w:p>
    <w:p>
      <w:pPr>
        <w:widowControl w:val="false"/>
        <w:suppressAutoHyphens w:val="true"/>
        <w:spacing w:before="0" w:after="0" w:line="240"/>
        <w:ind w:right="-6" w:left="0" w:firstLine="0"/>
        <w:jc w:val="center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850"/>
        <w:jc w:val="both"/>
        <w:rPr>
          <w:rFonts w:ascii="Times New Roman" w:hAnsi="Times New Roman" w:cs="Times New Roman" w:eastAsia="Times New Roman"/>
          <w:color w:val="00000A"/>
          <w:spacing w:val="0"/>
          <w:position w:val="0"/>
          <w:sz w:val="24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Руководствуясь пунктом 6.1  Положения о муниципальных должностях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Ульяновской области, утвержденного решением Совета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от 23.06.2022года  №45/34 Совет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решил:</w:t>
      </w:r>
    </w:p>
    <w:p>
      <w:pPr>
        <w:widowControl w:val="false"/>
        <w:suppressAutoHyphens w:val="true"/>
        <w:spacing w:before="0" w:after="0" w:line="240"/>
        <w:ind w:right="0" w:left="0" w:firstLine="794"/>
        <w:jc w:val="both"/>
        <w:rPr>
          <w:rFonts w:ascii="Times New Roman" w:hAnsi="Times New Roman" w:cs="Times New Roman" w:eastAsia="Times New Roman"/>
          <w:color w:val="00000A"/>
          <w:spacing w:val="0"/>
          <w:position w:val="0"/>
          <w:sz w:val="24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1.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Премировать председателя Контрольно — счётной палаты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Ульяновской области Айзарову Татьяну Никифоровну по итогам работы за 2022 год в размере одного должностного оклада.</w:t>
      </w:r>
    </w:p>
    <w:p>
      <w:pPr>
        <w:widowControl w:val="false"/>
        <w:suppressAutoHyphens w:val="true"/>
        <w:spacing w:before="0" w:after="0" w:line="240"/>
        <w:ind w:right="0" w:left="0" w:firstLine="850"/>
        <w:jc w:val="both"/>
        <w:rPr>
          <w:rFonts w:ascii="Times New Roman" w:hAnsi="Times New Roman" w:cs="Times New Roman" w:eastAsia="Times New Roman"/>
          <w:color w:val="00000A"/>
          <w:spacing w:val="0"/>
          <w:position w:val="0"/>
          <w:sz w:val="24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2.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Финансирование расходов произвести за счет средств бюджета в пределах расходов на содержание органов местного самоуправления.</w:t>
      </w:r>
    </w:p>
    <w:p>
      <w:pPr>
        <w:widowControl w:val="false"/>
        <w:suppressAutoHyphens w:val="true"/>
        <w:spacing w:before="0" w:after="0" w:line="240"/>
        <w:ind w:right="0" w:left="0" w:firstLine="794"/>
        <w:jc w:val="both"/>
        <w:rPr>
          <w:rFonts w:ascii="Times New Roman" w:hAnsi="Times New Roman" w:cs="Times New Roman" w:eastAsia="Times New Roman"/>
          <w:color w:val="00000A"/>
          <w:spacing w:val="0"/>
          <w:position w:val="0"/>
          <w:sz w:val="24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3.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8"/>
          <w:shd w:fill="auto" w:val="clear"/>
        </w:rPr>
        <w:t xml:space="preserve">Настоящее решение вступает в силу с момента его подписания.</w:t>
      </w:r>
    </w:p>
    <w:p>
      <w:pPr>
        <w:widowControl w:val="false"/>
        <w:suppressAutoHyphens w:val="true"/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</w:pPr>
    </w:p>
    <w:p>
      <w:pPr>
        <w:widowControl w:val="false"/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A"/>
          <w:spacing w:val="0"/>
          <w:position w:val="0"/>
          <w:sz w:val="24"/>
          <w:shd w:fill="auto" w:val="clear"/>
        </w:rPr>
      </w:pP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Глава муниципального образования</w:t>
      </w:r>
    </w:p>
    <w:p>
      <w:pPr>
        <w:widowControl w:val="false"/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A"/>
          <w:spacing w:val="0"/>
          <w:position w:val="0"/>
          <w:sz w:val="24"/>
          <w:shd w:fill="auto" w:val="clear"/>
        </w:rPr>
      </w:pP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»                                                    </w:t>
      </w:r>
      <w:r>
        <w:rPr>
          <w:rFonts w:ascii="PT Astra Serif" w:hAnsi="PT Astra Serif" w:cs="PT Astra Serif" w:eastAsia="PT Astra Serif"/>
          <w:color w:val="00000A"/>
          <w:spacing w:val="0"/>
          <w:position w:val="0"/>
          <w:sz w:val="28"/>
          <w:shd w:fill="auto" w:val="clear"/>
        </w:rPr>
        <w:t xml:space="preserve">П.А. Иванов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