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 w:themeFill="background1"/>
        <w:spacing w:lineRule="auto" w:line="192"/>
        <w:jc w:val="center"/>
        <w:rPr>
          <w:rFonts w:ascii="PT Astra Serif" w:hAnsi="PT Astra Serif"/>
          <w:bCs/>
          <w:smallCaps/>
          <w:sz w:val="16"/>
          <w:szCs w:val="16"/>
          <w:lang w:eastAsia="ar-SA"/>
        </w:rPr>
      </w:pPr>
      <w:r>
        <w:rPr>
          <w:rFonts w:ascii="PT Astra Serif" w:hAnsi="PT Astra Serif"/>
          <w:bCs/>
          <w:smallCaps/>
          <w:sz w:val="16"/>
          <w:szCs w:val="16"/>
          <w:lang w:eastAsia="ar-SA"/>
        </w:rPr>
        <w:t>СОВЕТ ДЕПУТАТОВ  МУНИЦИПАЛЬНОГО ОБРАЗОВАНИЯ</w:t>
      </w:r>
    </w:p>
    <w:p>
      <w:pPr>
        <w:pStyle w:val="Normal"/>
        <w:shd w:val="clear" w:color="auto" w:fill="FFFFFF" w:themeFill="background1"/>
        <w:spacing w:lineRule="auto" w:line="192"/>
        <w:jc w:val="center"/>
        <w:rPr>
          <w:rFonts w:ascii="PT Astra Serif" w:hAnsi="PT Astra Serif"/>
          <w:bCs/>
          <w:smallCaps/>
          <w:sz w:val="16"/>
          <w:szCs w:val="16"/>
          <w:lang w:eastAsia="ar-SA"/>
        </w:rPr>
      </w:pPr>
      <w:r>
        <w:rPr>
          <w:rFonts w:ascii="PT Astra Serif" w:hAnsi="PT Astra Serif"/>
          <w:bCs/>
          <w:smallCaps/>
          <w:sz w:val="16"/>
          <w:szCs w:val="16"/>
          <w:lang w:eastAsia="ar-SA"/>
        </w:rPr>
        <w:t>«ТЕРЕНЬГУЛЬСКИЙ РАЙОН»</w:t>
      </w:r>
    </w:p>
    <w:p>
      <w:pPr>
        <w:pStyle w:val="Normal"/>
        <w:shd w:val="clear" w:color="auto" w:fill="FFFFFF" w:themeFill="background1"/>
        <w:spacing w:lineRule="auto" w:line="192"/>
        <w:jc w:val="center"/>
        <w:rPr>
          <w:rFonts w:ascii="PT Astra Serif" w:hAnsi="PT Astra Serif"/>
          <w:bCs/>
          <w:smallCaps/>
          <w:sz w:val="16"/>
          <w:szCs w:val="16"/>
          <w:lang w:eastAsia="ar-SA"/>
        </w:rPr>
      </w:pPr>
      <w:r>
        <w:rPr>
          <w:rFonts w:ascii="PT Astra Serif" w:hAnsi="PT Astra Serif"/>
          <w:bCs/>
          <w:smallCaps/>
          <w:sz w:val="16"/>
          <w:szCs w:val="16"/>
          <w:lang w:eastAsia="ar-SA"/>
        </w:rPr>
        <w:t xml:space="preserve"> </w:t>
      </w:r>
      <w:r>
        <w:rPr>
          <w:rFonts w:ascii="PT Astra Serif" w:hAnsi="PT Astra Serif"/>
          <w:bCs/>
          <w:smallCaps/>
          <w:sz w:val="16"/>
          <w:szCs w:val="16"/>
          <w:lang w:eastAsia="ar-SA"/>
        </w:rPr>
        <w:t>УЛЬЯНОВСКОЙ ОБЛАСТИ</w:t>
      </w:r>
    </w:p>
    <w:p>
      <w:pPr>
        <w:pStyle w:val="Normal"/>
        <w:shd w:val="clear" w:color="auto" w:fill="FFFFFF" w:themeFill="background1"/>
        <w:rPr>
          <w:rFonts w:ascii="PT Astra Serif" w:hAnsi="PT Astra Serif"/>
          <w:bCs/>
          <w:sz w:val="16"/>
          <w:szCs w:val="16"/>
          <w:lang w:eastAsia="ar-SA"/>
        </w:rPr>
      </w:pPr>
      <w:r>
        <w:rPr>
          <w:rFonts w:ascii="PT Astra Serif" w:hAnsi="PT Astra Serif"/>
          <w:bCs/>
          <w:sz w:val="16"/>
          <w:szCs w:val="16"/>
          <w:lang w:eastAsia="ar-SA"/>
        </w:rPr>
      </w:r>
    </w:p>
    <w:p>
      <w:pPr>
        <w:pStyle w:val="Normal"/>
        <w:shd w:val="clear" w:color="auto" w:fill="FFFFFF" w:themeFill="background1"/>
        <w:jc w:val="center"/>
        <w:rPr>
          <w:rFonts w:ascii="PT Astra Serif" w:hAnsi="PT Astra Serif"/>
          <w:bCs/>
          <w:spacing w:val="144"/>
          <w:sz w:val="16"/>
          <w:szCs w:val="16"/>
          <w:lang w:eastAsia="ar-SA"/>
        </w:rPr>
      </w:pPr>
      <w:r>
        <w:rPr>
          <w:rFonts w:ascii="PT Astra Serif" w:hAnsi="PT Astra Serif"/>
          <w:bCs/>
          <w:spacing w:val="144"/>
          <w:sz w:val="16"/>
          <w:szCs w:val="16"/>
          <w:lang w:eastAsia="ar-SA"/>
        </w:rPr>
        <w:t>РЕШЕНИЕ</w:t>
      </w:r>
    </w:p>
    <w:tbl>
      <w:tblPr>
        <w:tblW w:w="9923" w:type="dxa"/>
        <w:jc w:val="left"/>
        <w:tblInd w:w="109" w:type="dxa"/>
        <w:tblBorders>
          <w:bottom w:val="single" w:sz="4" w:space="0" w:color="000001"/>
          <w:insideH w:val="single" w:sz="4" w:space="0" w:color="000001"/>
        </w:tblBorders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517"/>
        <w:gridCol w:w="5970"/>
        <w:gridCol w:w="1436"/>
      </w:tblGrid>
      <w:tr>
        <w:trPr>
          <w:trHeight w:val="567" w:hRule="atLeast"/>
        </w:trPr>
        <w:tc>
          <w:tcPr>
            <w:tcW w:w="2517" w:type="dxa"/>
            <w:tcBorders>
              <w:bottom w:val="single" w:sz="4" w:space="0" w:color="000001"/>
              <w:insideH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true"/>
              <w:snapToGrid w:val="false"/>
              <w:rPr>
                <w:rFonts w:ascii="PT Astra Serif" w:hAnsi="PT Astra Serif"/>
                <w:sz w:val="16"/>
                <w:szCs w:val="16"/>
                <w:lang w:eastAsia="ar-SA"/>
              </w:rPr>
            </w:pPr>
            <w:r>
              <w:rPr>
                <w:rFonts w:ascii="PT Astra Serif" w:hAnsi="PT Astra Serif"/>
                <w:sz w:val="16"/>
                <w:szCs w:val="16"/>
                <w:lang w:eastAsia="ar-SA"/>
              </w:rPr>
              <w:t xml:space="preserve">       </w:t>
            </w:r>
          </w:p>
          <w:p>
            <w:pPr>
              <w:pStyle w:val="Normal"/>
              <w:widowControl w:val="false"/>
              <w:shd w:val="clear" w:color="auto" w:fill="FFFFFF" w:themeFill="background1"/>
              <w:suppressAutoHyphens w:val="true"/>
              <w:snapToGrid w:val="false"/>
              <w:jc w:val="center"/>
              <w:rPr>
                <w:rFonts w:ascii="PT Astra Serif" w:hAnsi="PT Astra Serif"/>
                <w:sz w:val="16"/>
                <w:szCs w:val="16"/>
                <w:lang w:eastAsia="ar-SA"/>
              </w:rPr>
            </w:pPr>
            <w:r>
              <w:rPr>
                <w:rFonts w:ascii="PT Astra Serif" w:hAnsi="PT Astra Serif"/>
                <w:sz w:val="16"/>
                <w:szCs w:val="16"/>
                <w:lang w:eastAsia="ar-SA"/>
              </w:rPr>
              <w:t>27 апреля 2023 г.</w:t>
            </w:r>
          </w:p>
        </w:tc>
        <w:tc>
          <w:tcPr>
            <w:tcW w:w="5970" w:type="dxa"/>
            <w:tcBorders/>
            <w:shd w:fill="auto" w:val="clear"/>
            <w:vAlign w:val="bottom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true"/>
              <w:snapToGrid w:val="false"/>
              <w:jc w:val="right"/>
              <w:rPr>
                <w:rFonts w:ascii="PT Astra Serif" w:hAnsi="PT Astra Serif"/>
                <w:sz w:val="16"/>
                <w:szCs w:val="16"/>
                <w:lang w:eastAsia="ar-SA"/>
              </w:rPr>
            </w:pPr>
            <w:r>
              <w:rPr>
                <w:rFonts w:ascii="PT Astra Serif" w:hAnsi="PT Astra Serif"/>
                <w:sz w:val="16"/>
                <w:szCs w:val="16"/>
                <w:lang w:eastAsia="ar-SA"/>
              </w:rPr>
              <w:t xml:space="preserve">№ </w:t>
            </w:r>
          </w:p>
        </w:tc>
        <w:tc>
          <w:tcPr>
            <w:tcW w:w="1436" w:type="dxa"/>
            <w:tcBorders>
              <w:bottom w:val="single" w:sz="4" w:space="0" w:color="00000A"/>
              <w:insideH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true"/>
              <w:snapToGrid w:val="false"/>
              <w:rPr>
                <w:rFonts w:ascii="PT Astra Serif" w:hAnsi="PT Astra Serif"/>
                <w:sz w:val="16"/>
                <w:szCs w:val="16"/>
                <w:lang w:eastAsia="ar-SA"/>
              </w:rPr>
            </w:pPr>
            <w:r>
              <w:rPr>
                <w:rFonts w:ascii="PT Astra Serif" w:hAnsi="PT Astra Serif"/>
                <w:sz w:val="16"/>
                <w:szCs w:val="16"/>
                <w:lang w:eastAsia="ar-SA"/>
              </w:rPr>
              <w:t>55/14</w:t>
            </w:r>
          </w:p>
        </w:tc>
      </w:tr>
      <w:tr>
        <w:trPr>
          <w:trHeight w:val="417" w:hRule="atLeast"/>
        </w:trPr>
        <w:tc>
          <w:tcPr>
            <w:tcW w:w="9923" w:type="dxa"/>
            <w:gridSpan w:val="3"/>
            <w:tcBorders/>
            <w:shd w:fill="auto" w:val="clear"/>
          </w:tcPr>
          <w:p>
            <w:pPr>
              <w:pStyle w:val="Normal"/>
              <w:shd w:val="clear" w:color="auto" w:fill="FFFFFF" w:themeFill="background1"/>
              <w:snapToGrid w:val="false"/>
              <w:jc w:val="right"/>
              <w:rPr/>
            </w:pPr>
            <w:r>
              <w:rPr>
                <w:rFonts w:ascii="PT Astra Serif" w:hAnsi="PT Astra Serif"/>
                <w:sz w:val="16"/>
                <w:szCs w:val="16"/>
                <w:lang w:eastAsia="ar-SA"/>
              </w:rPr>
              <w:t xml:space="preserve">             </w:t>
            </w:r>
            <w:r>
              <w:rPr>
                <w:rFonts w:ascii="PT Astra Serif" w:hAnsi="PT Astra Serif"/>
                <w:sz w:val="16"/>
                <w:szCs w:val="16"/>
                <w:lang w:eastAsia="ar-SA"/>
              </w:rPr>
              <w:t xml:space="preserve">Экз. № _______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pStyle w:val="Normal"/>
              <w:shd w:val="clear" w:color="auto" w:fill="FFFFFF" w:themeFill="background1"/>
              <w:snapToGrid w:val="false"/>
              <w:jc w:val="center"/>
              <w:rPr>
                <w:rFonts w:ascii="PT Astra Serif" w:hAnsi="PT Astra Serif"/>
                <w:sz w:val="16"/>
                <w:szCs w:val="16"/>
                <w:lang w:eastAsia="ar-SA"/>
              </w:rPr>
            </w:pPr>
            <w:r>
              <w:rPr>
                <w:rFonts w:ascii="PT Astra Serif" w:hAnsi="PT Astra Serif"/>
                <w:sz w:val="16"/>
                <w:szCs w:val="16"/>
                <w:lang w:eastAsia="ar-SA"/>
              </w:rPr>
              <w:t>р.п. Тереньга</w:t>
            </w:r>
          </w:p>
          <w:p>
            <w:pPr>
              <w:pStyle w:val="Normal"/>
              <w:widowControl w:val="false"/>
              <w:shd w:val="clear" w:color="auto" w:fill="FFFFFF" w:themeFill="background1"/>
              <w:suppressAutoHyphens w:val="true"/>
              <w:snapToGrid w:val="false"/>
              <w:jc w:val="center"/>
              <w:rPr>
                <w:rFonts w:ascii="PT Astra Serif" w:hAnsi="PT Astra Serif"/>
                <w:sz w:val="16"/>
                <w:szCs w:val="16"/>
                <w:lang w:eastAsia="ar-SA"/>
              </w:rPr>
            </w:pPr>
            <w:r>
              <w:rPr>
                <w:rFonts w:ascii="PT Astra Serif" w:hAnsi="PT Astra Serif"/>
                <w:sz w:val="16"/>
                <w:szCs w:val="16"/>
                <w:lang w:eastAsia="ar-SA"/>
              </w:rPr>
            </w:r>
          </w:p>
        </w:tc>
      </w:tr>
      <w:tr>
        <w:trPr/>
        <w:tc>
          <w:tcPr>
            <w:tcW w:w="9923" w:type="dxa"/>
            <w:gridSpan w:val="3"/>
            <w:tcBorders/>
            <w:shd w:fill="auto" w:val="clea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true"/>
              <w:snapToGrid w:val="false"/>
              <w:jc w:val="center"/>
              <w:rPr>
                <w:rFonts w:ascii="PT Astra Serif" w:hAnsi="PT Astra Serif"/>
                <w:bCs/>
                <w:sz w:val="16"/>
                <w:szCs w:val="16"/>
                <w:lang w:eastAsia="ar-SA"/>
              </w:rPr>
            </w:pPr>
            <w:r>
              <w:rPr>
                <w:rFonts w:ascii="PT Astra Serif" w:hAnsi="PT Astra Serif"/>
                <w:bCs/>
                <w:sz w:val="16"/>
                <w:szCs w:val="16"/>
                <w:lang w:eastAsia="ar-SA"/>
              </w:rPr>
              <w:t xml:space="preserve">О внесении изменений в решение Совета депутатов муниципального образования </w:t>
            </w:r>
          </w:p>
          <w:p>
            <w:pPr>
              <w:pStyle w:val="Normal"/>
              <w:widowControl w:val="false"/>
              <w:shd w:val="clear" w:color="auto" w:fill="FFFFFF" w:themeFill="background1"/>
              <w:suppressAutoHyphens w:val="true"/>
              <w:snapToGrid w:val="false"/>
              <w:jc w:val="center"/>
              <w:rPr>
                <w:rFonts w:ascii="PT Astra Serif" w:hAnsi="PT Astra Serif"/>
                <w:bCs/>
                <w:sz w:val="16"/>
                <w:szCs w:val="16"/>
                <w:lang w:eastAsia="ar-SA"/>
              </w:rPr>
            </w:pPr>
            <w:r>
              <w:rPr>
                <w:rFonts w:ascii="PT Astra Serif" w:hAnsi="PT Astra Serif"/>
                <w:bCs/>
                <w:sz w:val="16"/>
                <w:szCs w:val="16"/>
                <w:lang w:eastAsia="ar-SA"/>
              </w:rPr>
              <w:t xml:space="preserve">«Тереньгульский район» от 22.12.2022г. №51/76 «О бюджете муниципального образования «Тереньгульский район» </w:t>
            </w:r>
          </w:p>
          <w:p>
            <w:pPr>
              <w:pStyle w:val="Normal"/>
              <w:widowControl w:val="false"/>
              <w:shd w:val="clear" w:color="auto" w:fill="FFFFFF" w:themeFill="background1"/>
              <w:suppressAutoHyphens w:val="true"/>
              <w:snapToGrid w:val="false"/>
              <w:jc w:val="center"/>
              <w:rPr>
                <w:rFonts w:ascii="PT Astra Serif" w:hAnsi="PT Astra Serif"/>
                <w:bCs/>
                <w:sz w:val="16"/>
                <w:szCs w:val="16"/>
                <w:lang w:eastAsia="ar-SA"/>
              </w:rPr>
            </w:pPr>
            <w:r>
              <w:rPr>
                <w:rFonts w:ascii="PT Astra Serif" w:hAnsi="PT Astra Serif"/>
                <w:bCs/>
                <w:sz w:val="16"/>
                <w:szCs w:val="16"/>
                <w:lang w:eastAsia="ar-SA"/>
              </w:rPr>
              <w:t>на 2023 год и на плановый период 2024 и 2025 годов»</w:t>
            </w:r>
          </w:p>
          <w:p>
            <w:pPr>
              <w:pStyle w:val="Normal"/>
              <w:widowControl w:val="false"/>
              <w:shd w:val="clear" w:color="auto" w:fill="FFFFFF" w:themeFill="background1"/>
              <w:suppressAutoHyphens w:val="true"/>
              <w:snapToGrid w:val="false"/>
              <w:jc w:val="center"/>
              <w:rPr>
                <w:rFonts w:ascii="PT Astra Serif" w:hAnsi="PT Astra Serif"/>
                <w:bCs/>
                <w:sz w:val="16"/>
                <w:szCs w:val="16"/>
                <w:lang w:eastAsia="ar-SA"/>
              </w:rPr>
            </w:pPr>
            <w:r>
              <w:rPr>
                <w:rFonts w:ascii="PT Astra Serif" w:hAnsi="PT Astra Serif"/>
                <w:bCs/>
                <w:sz w:val="16"/>
                <w:szCs w:val="16"/>
                <w:lang w:eastAsia="ar-SA"/>
              </w:rPr>
            </w:r>
          </w:p>
        </w:tc>
      </w:tr>
    </w:tbl>
    <w:p>
      <w:pPr>
        <w:pStyle w:val="Style16"/>
        <w:shd w:val="clear" w:color="auto" w:fill="FFFFFF" w:themeFill="background1"/>
        <w:spacing w:lineRule="auto" w:line="204"/>
        <w:ind w:firstLine="851"/>
        <w:jc w:val="both"/>
        <w:rPr>
          <w:rFonts w:ascii="PT Astra Serif" w:hAnsi="PT Astra Serif"/>
          <w:b w:val="false"/>
          <w:b w:val="false"/>
          <w:sz w:val="16"/>
          <w:szCs w:val="16"/>
        </w:rPr>
      </w:pPr>
      <w:r>
        <w:rPr>
          <w:rFonts w:ascii="PT Astra Serif" w:hAnsi="PT Astra Serif"/>
          <w:b w:val="false"/>
          <w:bCs w:val="false"/>
          <w:sz w:val="16"/>
          <w:szCs w:val="16"/>
        </w:rPr>
        <w:t xml:space="preserve">Совет депутатов муниципального образования «Тереньгульский район» </w:t>
      </w:r>
      <w:r>
        <w:rPr>
          <w:rFonts w:ascii="PT Astra Serif" w:hAnsi="PT Astra Serif"/>
          <w:b w:val="false"/>
          <w:bCs w:val="false"/>
          <w:spacing w:val="20"/>
          <w:sz w:val="16"/>
          <w:szCs w:val="16"/>
        </w:rPr>
        <w:t xml:space="preserve">решил: </w:t>
      </w:r>
      <w:r>
        <w:rPr>
          <w:rFonts w:ascii="PT Astra Serif" w:hAnsi="PT Astra Serif"/>
          <w:b w:val="false"/>
          <w:sz w:val="16"/>
          <w:szCs w:val="16"/>
        </w:rPr>
        <w:t>внести в решение Совета депутатов муниципального образования «Тереньгульский район» от 22.12.2022г №51/76 (</w:t>
      </w:r>
      <w:r>
        <w:rPr>
          <w:rStyle w:val="FontStyle14"/>
          <w:rFonts w:ascii="PT Astra Serif" w:hAnsi="PT Astra Serif"/>
          <w:b w:val="false"/>
          <w:sz w:val="16"/>
          <w:szCs w:val="16"/>
        </w:rPr>
        <w:t xml:space="preserve">информационный бюллетень «Вестник района» №50(414) от 22 декабря 2022г), </w:t>
      </w:r>
      <w:r>
        <w:rPr>
          <w:rFonts w:ascii="PT Astra Serif" w:hAnsi="PT Astra Serif"/>
          <w:b w:val="false"/>
          <w:sz w:val="16"/>
          <w:szCs w:val="16"/>
        </w:rPr>
        <w:t>от 28.12.2022г №52/87 (</w:t>
      </w:r>
      <w:r>
        <w:rPr>
          <w:rStyle w:val="FontStyle14"/>
          <w:rFonts w:ascii="PT Astra Serif" w:hAnsi="PT Astra Serif"/>
          <w:b w:val="false"/>
          <w:sz w:val="16"/>
          <w:szCs w:val="16"/>
        </w:rPr>
        <w:t xml:space="preserve">информационный бюллетень «Вестник района» №55(419) от 28 декабря 2022г), </w:t>
      </w:r>
      <w:r>
        <w:rPr>
          <w:rFonts w:ascii="PT Astra Serif" w:hAnsi="PT Astra Serif"/>
          <w:b w:val="false"/>
          <w:sz w:val="16"/>
          <w:szCs w:val="16"/>
        </w:rPr>
        <w:t>от 27.02.2023г №53/02 (</w:t>
      </w:r>
      <w:r>
        <w:rPr>
          <w:rStyle w:val="FontStyle14"/>
          <w:rFonts w:ascii="PT Astra Serif" w:hAnsi="PT Astra Serif"/>
          <w:b w:val="false"/>
          <w:sz w:val="16"/>
          <w:szCs w:val="16"/>
        </w:rPr>
        <w:t xml:space="preserve">информационный бюллетень «Вестник района» №06(427) от 27 февраля 2023г), </w:t>
      </w:r>
      <w:r>
        <w:rPr>
          <w:rFonts w:ascii="PT Astra Serif" w:hAnsi="PT Astra Serif"/>
          <w:b w:val="false"/>
          <w:sz w:val="16"/>
          <w:szCs w:val="16"/>
        </w:rPr>
        <w:t>от 30.03.2023г №54/08 (</w:t>
      </w:r>
      <w:r>
        <w:rPr>
          <w:rStyle w:val="FontStyle14"/>
          <w:rFonts w:ascii="PT Astra Serif" w:hAnsi="PT Astra Serif"/>
          <w:b w:val="false"/>
          <w:sz w:val="16"/>
          <w:szCs w:val="16"/>
        </w:rPr>
        <w:t xml:space="preserve">информационный бюллетень «Вестник района» №10(431) от 30 марта 2023г) </w:t>
      </w:r>
      <w:r>
        <w:rPr>
          <w:rFonts w:ascii="PT Astra Serif" w:hAnsi="PT Astra Serif"/>
          <w:b w:val="false"/>
          <w:sz w:val="16"/>
          <w:szCs w:val="16"/>
        </w:rPr>
        <w:t xml:space="preserve">следующие изменения: </w:t>
      </w:r>
    </w:p>
    <w:p>
      <w:pPr>
        <w:pStyle w:val="Normal"/>
        <w:shd w:val="clear" w:color="auto" w:fill="FFFFFF" w:themeFill="background1"/>
        <w:jc w:val="both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</w:r>
    </w:p>
    <w:p>
      <w:pPr>
        <w:pStyle w:val="Normal"/>
        <w:numPr>
          <w:ilvl w:val="0"/>
          <w:numId w:val="1"/>
        </w:numPr>
        <w:shd w:val="clear" w:color="auto" w:fill="FFFFFF" w:themeFill="background1"/>
        <w:spacing w:lineRule="auto" w:line="204"/>
        <w:ind w:left="0" w:hanging="0"/>
        <w:jc w:val="both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>Раздел «1.Основные характеристики бюджета муниципального образования «Тереньгульский район»» изложить в следующей редакции:</w:t>
      </w:r>
    </w:p>
    <w:p>
      <w:pPr>
        <w:pStyle w:val="Style21"/>
        <w:shd w:val="clear" w:color="auto" w:fill="FFFFFF" w:themeFill="background1"/>
        <w:ind w:hanging="0"/>
        <w:rPr>
          <w:rFonts w:ascii="PT Astra Serif" w:hAnsi="PT Astra Serif"/>
          <w:color w:val="00000A"/>
          <w:sz w:val="16"/>
          <w:szCs w:val="16"/>
        </w:rPr>
      </w:pPr>
      <w:r>
        <w:rPr>
          <w:rFonts w:ascii="PT Astra Serif" w:hAnsi="PT Astra Serif"/>
          <w:color w:val="00000A"/>
          <w:sz w:val="16"/>
          <w:szCs w:val="16"/>
        </w:rPr>
        <w:t>«1. Утвердить основные характеристики бюджета муниципального образования «Тереньгульский район» на 2023 год:</w:t>
      </w:r>
    </w:p>
    <w:p>
      <w:pPr>
        <w:pStyle w:val="Normal"/>
        <w:shd w:val="clear" w:color="auto" w:fill="FFFFFF" w:themeFill="background1"/>
        <w:ind w:firstLine="720"/>
        <w:jc w:val="both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>1) общий объём доходов бюджета муниципального образования «Тереньгульский район» в сумме 434178,51249 тыс. рублей, в том числе безвозмездные поступления от других бюджетов бюджетной системы Российской Федерации в общей сумме 379256,32249 тыс. рублей;</w:t>
      </w:r>
    </w:p>
    <w:p>
      <w:pPr>
        <w:pStyle w:val="Normal"/>
        <w:shd w:val="clear" w:color="auto" w:fill="FFFFFF" w:themeFill="background1"/>
        <w:ind w:firstLine="720"/>
        <w:jc w:val="both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>2) общий объём расходов бюджета муниципального образования «Тереньгульский район» в сумме 438787,59248 тыс. рублей;</w:t>
      </w:r>
    </w:p>
    <w:p>
      <w:pPr>
        <w:pStyle w:val="Style21"/>
        <w:shd w:val="clear" w:color="auto" w:fill="FFFFFF" w:themeFill="background1"/>
        <w:rPr>
          <w:rFonts w:ascii="PT Astra Serif" w:hAnsi="PT Astra Serif"/>
          <w:color w:val="00000A"/>
          <w:sz w:val="16"/>
          <w:szCs w:val="16"/>
        </w:rPr>
      </w:pPr>
      <w:r>
        <w:rPr>
          <w:rFonts w:ascii="PT Astra Serif" w:hAnsi="PT Astra Serif"/>
          <w:color w:val="00000A"/>
          <w:sz w:val="16"/>
          <w:szCs w:val="16"/>
        </w:rPr>
        <w:t xml:space="preserve">3) дефицит бюджета муниципального образования «Тереньгульский район» в сумме 4609,07999 тыс. рублей. </w:t>
      </w:r>
    </w:p>
    <w:p>
      <w:pPr>
        <w:pStyle w:val="Normal"/>
        <w:shd w:val="clear" w:color="auto" w:fill="FFFFFF" w:themeFill="background1"/>
        <w:jc w:val="both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</w:r>
    </w:p>
    <w:p>
      <w:pPr>
        <w:pStyle w:val="Normal"/>
        <w:shd w:val="clear" w:color="auto" w:fill="FFFFFF" w:themeFill="background1"/>
        <w:tabs>
          <w:tab w:val="left" w:pos="8505" w:leader="none"/>
        </w:tabs>
        <w:ind w:left="360" w:hanging="360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>2.</w:t>
      </w:r>
      <w:r>
        <w:rPr>
          <w:rFonts w:ascii="PT Astra Serif" w:hAnsi="PT Astra Serif"/>
          <w:bCs/>
          <w:sz w:val="16"/>
          <w:szCs w:val="16"/>
        </w:rPr>
        <w:t xml:space="preserve">  </w:t>
      </w:r>
      <w:r>
        <w:rPr>
          <w:rFonts w:ascii="PT Astra Serif" w:hAnsi="PT Astra Serif"/>
          <w:sz w:val="16"/>
          <w:szCs w:val="16"/>
        </w:rPr>
        <w:t>Приложение 2 к решению изложить в следующей редакции:</w:t>
      </w:r>
    </w:p>
    <w:p>
      <w:pPr>
        <w:pStyle w:val="Normal"/>
        <w:shd w:val="clear" w:color="auto" w:fill="FFFFFF" w:themeFill="background1"/>
        <w:ind w:left="5580" w:hanging="0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bCs/>
          <w:sz w:val="16"/>
          <w:szCs w:val="16"/>
        </w:rPr>
        <w:t>«</w:t>
      </w:r>
      <w:r>
        <w:rPr>
          <w:rFonts w:ascii="PT Astra Serif" w:hAnsi="PT Astra Serif"/>
          <w:sz w:val="16"/>
          <w:szCs w:val="16"/>
        </w:rPr>
        <w:t>Приложение 2</w:t>
      </w:r>
    </w:p>
    <w:p>
      <w:pPr>
        <w:pStyle w:val="Normal"/>
        <w:shd w:val="clear" w:color="auto" w:fill="FFFFFF" w:themeFill="background1"/>
        <w:ind w:left="5580" w:hanging="0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 xml:space="preserve">к решению Совета депутатов  муниципального </w:t>
      </w:r>
    </w:p>
    <w:p>
      <w:pPr>
        <w:pStyle w:val="Normal"/>
        <w:shd w:val="clear" w:color="auto" w:fill="FFFFFF" w:themeFill="background1"/>
        <w:tabs>
          <w:tab w:val="left" w:pos="4230" w:leader="none"/>
        </w:tabs>
        <w:ind w:left="5580" w:hanging="0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>образования «Тереньгульский район</w:t>
      </w:r>
    </w:p>
    <w:p>
      <w:pPr>
        <w:pStyle w:val="Normal"/>
        <w:shd w:val="clear" w:color="auto" w:fill="FFFFFF" w:themeFill="background1"/>
        <w:ind w:left="5580" w:hanging="0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>«О бюджете муниципального образования</w:t>
      </w:r>
    </w:p>
    <w:p>
      <w:pPr>
        <w:pStyle w:val="Normal"/>
        <w:shd w:val="clear" w:color="auto" w:fill="FFFFFF" w:themeFill="background1"/>
        <w:ind w:left="5580" w:hanging="0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 xml:space="preserve">«Тереньгульский район»  на 2023 год </w:t>
      </w:r>
    </w:p>
    <w:p>
      <w:pPr>
        <w:pStyle w:val="Normal"/>
        <w:shd w:val="clear" w:color="auto" w:fill="FFFFFF" w:themeFill="background1"/>
        <w:ind w:left="5580" w:hanging="0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>и на</w:t>
      </w:r>
      <w:r>
        <w:rPr>
          <w:rFonts w:ascii="PT Astra Serif" w:hAnsi="PT Astra Serif"/>
          <w:i/>
          <w:sz w:val="16"/>
          <w:szCs w:val="16"/>
        </w:rPr>
        <w:t xml:space="preserve"> </w:t>
      </w:r>
      <w:r>
        <w:rPr>
          <w:rFonts w:ascii="PT Astra Serif" w:hAnsi="PT Astra Serif"/>
          <w:sz w:val="16"/>
          <w:szCs w:val="16"/>
        </w:rPr>
        <w:t>плановый период 2024 и 2025 годов»</w:t>
      </w:r>
    </w:p>
    <w:p>
      <w:pPr>
        <w:pStyle w:val="Normal"/>
        <w:shd w:val="clear" w:color="auto" w:fill="FFFFFF" w:themeFill="background1"/>
        <w:tabs>
          <w:tab w:val="left" w:pos="6237" w:leader="none"/>
        </w:tabs>
        <w:ind w:left="360" w:hanging="360"/>
        <w:jc w:val="right"/>
        <w:rPr>
          <w:rFonts w:ascii="PT Astra Serif" w:hAnsi="PT Astra Serif"/>
          <w:i/>
          <w:i/>
          <w:sz w:val="24"/>
          <w:szCs w:val="24"/>
        </w:rPr>
      </w:pPr>
      <w:r>
        <w:rPr>
          <w:rFonts w:ascii="PT Astra Serif" w:hAnsi="PT Astra Serif"/>
          <w:i/>
          <w:sz w:val="24"/>
          <w:szCs w:val="24"/>
        </w:rPr>
      </w:r>
    </w:p>
    <w:p>
      <w:pPr>
        <w:pStyle w:val="Normal"/>
        <w:shd w:val="clear" w:color="auto" w:fill="FFFFFF" w:themeFill="background1"/>
        <w:tabs>
          <w:tab w:val="left" w:pos="6237" w:leader="none"/>
        </w:tabs>
        <w:ind w:left="360" w:hanging="360"/>
        <w:jc w:val="center"/>
        <w:rPr>
          <w:rFonts w:ascii="PT Astra Serif" w:hAnsi="PT Astra Serif"/>
          <w:b/>
          <w:b/>
          <w:bCs/>
          <w:sz w:val="16"/>
          <w:szCs w:val="16"/>
        </w:rPr>
      </w:pPr>
      <w:r>
        <w:rPr>
          <w:rFonts w:ascii="PT Astra Serif" w:hAnsi="PT Astra Serif"/>
          <w:b/>
          <w:bCs/>
          <w:sz w:val="16"/>
          <w:szCs w:val="16"/>
        </w:rPr>
        <w:t>Доходы бюджета муниципального образования « Тереньгульский район»  в разрезе кодов видов доходов, подвидов доходов, классификации операций сектора государственного  управления, относящихся к доходам бюджетов, классификации доходов бюджетов бюджетной классификации Российской Федерации на 2023 год</w:t>
      </w:r>
    </w:p>
    <w:p>
      <w:pPr>
        <w:pStyle w:val="Normal"/>
        <w:shd w:val="clear" w:color="auto" w:fill="FFFFFF" w:themeFill="background1"/>
        <w:tabs>
          <w:tab w:val="left" w:pos="8505" w:leader="none"/>
        </w:tabs>
        <w:ind w:left="360" w:hanging="360"/>
        <w:jc w:val="right"/>
        <w:rPr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sz w:val="16"/>
          <w:szCs w:val="16"/>
        </w:rPr>
        <w:t>тыс. руб.</w:t>
      </w:r>
    </w:p>
    <w:tbl>
      <w:tblPr>
        <w:tblW w:w="10015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2627"/>
        <w:gridCol w:w="6127"/>
        <w:gridCol w:w="1261"/>
      </w:tblGrid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ind w:left="360" w:hanging="3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shd w:val="clear" w:color="auto" w:fill="FFFFFF" w:themeFill="background1"/>
              <w:ind w:left="360" w:hanging="3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</w:t>
            </w:r>
          </w:p>
          <w:p>
            <w:pPr>
              <w:pStyle w:val="Normal"/>
              <w:shd w:val="clear" w:color="auto" w:fill="FFFFFF" w:themeFill="background1"/>
              <w:ind w:left="360" w:hanging="3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ind w:left="360" w:hanging="3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ind w:left="360" w:hanging="3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center"/>
              <w:rPr>
                <w:i/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100 00000 00 0000 000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54922,19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101 00000 00 0000 000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19835,7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101 02000 01 0000 110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19835,7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b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101 02010 01 0000 110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both"/>
              <w:rPr>
                <w:b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</w:t>
            </w:r>
            <w:r>
              <w:rPr>
                <w:sz w:val="16"/>
                <w:szCs w:val="16"/>
                <w:vertAlign w:val="superscript"/>
              </w:rPr>
              <w:t xml:space="preserve">1 </w:t>
            </w:r>
            <w:r>
              <w:rPr>
                <w:sz w:val="16"/>
                <w:szCs w:val="16"/>
              </w:rPr>
              <w:t xml:space="preserve">и 228 Налогового кодекса Российской Федерации 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19585,7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b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101 02020 01 0000 110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Налог на доходы физических лиц с доходов, полученных от осуществления  деятельности физическими лицами, зарегистрированными в качестве 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 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101 02030 01 0000 110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Налог на доходы физических лиц с доходов,  полученных физическими  лицами в соответствии со статьей 228 Налогового кодекса  Российской Федерации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150,0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103 00000 00 0000 000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both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НАЛОГИ НА ТОВАРЫ (РАБОТЫ И УСЛУГИ), РЕАЛИЗУЕМЫЕ НА ТЕРРИТОРИИ РОССИЙСКОЙ ФЕДЕРАЦИИ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9008,59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103 02000 01 0000 110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both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Акцизы по подакцизным товарам  (продукции), производимым на территории Российской Федерации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9008,59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103 02230 01 0000 110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4266,92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103 02240 01 0000 110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29,64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103 02250 01 0000 110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both"/>
              <w:rPr>
                <w:b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5274,78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103 02260 01 0000 110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Доходы от уплаты акцизов на прямогонный 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-562,75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105 00000 00 0000 000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5585,0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105 01000 00 0000 110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tabs>
                <w:tab w:val="left" w:pos="522" w:leader="none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Налог, взимаемый в связи с применением упрощенной системы  налогообложения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4300,0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105 01010 01 0000 110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tabs>
                <w:tab w:val="left" w:pos="522" w:leader="none"/>
              </w:tabs>
              <w:jc w:val="both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Налог, взимаемый с налогоплательщиков, выбравших в  качестве объекта налогообложения доходы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3096,0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105 01011 01 0000 110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tabs>
                <w:tab w:val="left" w:pos="522" w:leader="none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Налог, взимаемый с налогоплательщиков, выбравших в  качестве объекта налогообложения доходы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3096,0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105 01020 01 0000 110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tabs>
                <w:tab w:val="left" w:pos="522" w:leader="none"/>
              </w:tabs>
              <w:jc w:val="both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Налог, взимаемый с налогоплательщиков, выбравших в  качестве объекта налогообложения доходы, уменьшенные на величину расходов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1204,0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105 01021 01 0000 110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tabs>
                <w:tab w:val="left" w:pos="522" w:leader="none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Налог, взимаемый с налогоплательщиков, выбравших в  качестве объекта налогообложения доходы, уменьшенные на величину расходов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1204,0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105 03000 01 0000 110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tabs>
                <w:tab w:val="left" w:pos="522" w:leader="none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191,7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105 03010 01 0000 110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tabs>
                <w:tab w:val="left" w:pos="522" w:leader="none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191,7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105 04000 02 0000 110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tabs>
                <w:tab w:val="left" w:pos="522" w:leader="none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1093,3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105 04020 02 0000 110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tabs>
                <w:tab w:val="left" w:pos="522" w:leader="none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1093,3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1 07 00000 00 0000 000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right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</w:t>
            </w:r>
            <w:r>
              <w:rPr>
                <w:b/>
                <w:sz w:val="16"/>
                <w:szCs w:val="16"/>
              </w:rPr>
              <w:t>12516,0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1 07 01000 01 0000 110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Налог на добычу полезных ископаемых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>12516,0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1 07 01020 01 0000 110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Налог на добычу общераспространенных полезных ископаемых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</w:t>
            </w:r>
            <w:r>
              <w:rPr>
                <w:sz w:val="16"/>
                <w:szCs w:val="16"/>
              </w:rPr>
              <w:t>12516,0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108 0000 00 0000 000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ГОСУДАРСТВЕННАЯ ПОШЛИНА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1600,0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108 03000 01 0000110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both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Государственная пошлина по делам, рассматриваемым в судах общей юрисдикции, мировыми судьями 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1600,0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108 03010 01 0000 110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1600,0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111 00000 00 0000 000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both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ДОХОДЫ ОТ ИСПОЛЬЗОВАНИЯ ИМУЩЕСТВА, НАХОДЯШЕГОСЯ В ГОСУДАРСТВЕННОЙ И МУНИЦИПАЛЬНОЙ СОБСТВЕННОСТИ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2369,2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111 05000 00 0000 120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both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 бюджетных и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2369,2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111 05010 00 0000 120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разграничена, 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2340,8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111 05013 05 0000 120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1868,2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111 05013 13 0000 120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472,6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111 05030 00 0000 120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Доходы от сдачи в аренду 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 и автономных учреждений)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28,4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111 05035 05 0000 120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28,4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112 00000 00 0000 000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ПЛАТЕЖИ ПРИ ПОЛЬЗОВАНИИ ПРИРОДНЫМИ РЕСУРСАМИ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230,0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tabs>
                <w:tab w:val="left" w:pos="2490" w:leader="none"/>
              </w:tabs>
              <w:ind w:left="360" w:hanging="360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112 01000 01 0000 120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tabs>
                <w:tab w:val="left" w:pos="2490" w:leader="none"/>
              </w:tabs>
              <w:jc w:val="both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Плата за негативное воздействие на окружающую среду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tabs>
                <w:tab w:val="left" w:pos="2490" w:leader="none"/>
              </w:tabs>
              <w:ind w:left="360" w:hanging="360"/>
              <w:jc w:val="right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230,0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112 01010 01 0000 120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140,0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112 01041 01 0000 120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Плата за размещение отходов производства 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80,0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112 01042 01 0000 120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Плата за размещение  твердых коммунальных отходов 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113 00000 00 0000 000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both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3157,6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b/>
                <w:b/>
                <w:i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113 01000 00 0000 130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both"/>
              <w:rPr>
                <w:b/>
                <w:b/>
                <w:i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Доходы от оказания платных услуг (работ)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b/>
                <w:b/>
                <w:i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2762,9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113 01990 00 0000 130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both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Прочие  доходы  от оказания платных услуг (работ)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2762,9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113 01995 05 0000 130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Прочие доходы от оказания платных услуг </w:t>
            </w:r>
          </w:p>
          <w:p>
            <w:pPr>
              <w:pStyle w:val="Normal"/>
              <w:shd w:val="clear" w:color="auto" w:fill="FFFFFF" w:themeFill="background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(работ) получателями средств бюджетов муниципальных районов 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2762,9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113 02995 00 0000 130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 доходы  от компенсации затрат бюджетов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394,7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113 02995 05 0000 130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 доходы  от компенсации затрат бюджетов  муниципальных районов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394,7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114 00000 00 0000 000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both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220,0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114 02000 00 0000 000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both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100,0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114 02053 05 0000 410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both"/>
              <w:rPr>
                <w:b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Доходы от реализации иного имущества, находящегося в 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b/>
                <w:b/>
                <w:i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114 06000 00 0000 430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both"/>
              <w:rPr>
                <w:b/>
                <w:b/>
                <w:i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 бюджетных и автономных учреждений)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b/>
                <w:b/>
                <w:i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120,0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114 06010 00 0000 430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120,0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114 06013 05 0000 430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 сельских территорий и межселенных территорий муниципальных районов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70,0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114 06013 13 0000 430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 городских поселений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</w:t>
            </w:r>
          </w:p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116 00000 00 0000 000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both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400,1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b/>
                <w:b/>
                <w:i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116 01000  01 0000 140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both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300,1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116 01200 01 0000 140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both"/>
              <w:rPr>
                <w:i/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Административные правонарушения, установленные Главой 20 Кодекса Российской Федерации об 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116 0120301 0000 140</w:t>
            </w:r>
          </w:p>
          <w:p>
            <w:pPr>
              <w:pStyle w:val="Normal"/>
              <w:shd w:val="clear" w:color="auto" w:fill="FFFFFF" w:themeFill="background1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Административные правонарушения, установленные Главой 20 Кодекса Российской Федерации об 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shd w:val="clear" w:color="auto" w:fill="FFFFFF" w:themeFill="background1"/>
              <w:jc w:val="right"/>
              <w:rPr>
                <w:rFonts w:ascii="PT Astra Serif" w:hAnsi="PT Astra Serif"/>
                <w:sz w:val="16"/>
                <w:szCs w:val="16"/>
              </w:rPr>
            </w:pPr>
            <w:r>
              <w:rPr>
                <w:rFonts w:ascii="PT Astra Serif" w:hAnsi="PT Astra Serif"/>
                <w:sz w:val="16"/>
                <w:szCs w:val="16"/>
              </w:rPr>
              <w:t>100,0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116 01080  01 0000 140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both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Административные штрафы, установленные  Главой 8 Кодекса Российской Федерации об  административных правонарушениях, за административные правонарушения в области окружающей среды и природопользования 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50,0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116 01083 01 0000 140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both"/>
              <w:rPr>
                <w:i/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Административные штрафы, установленные  Главой 8 Кодекса Российской Федерации об  административных правонарушениях, за административные правонарушения в области окружающей среды и природопользования,  налагаемые мировыми судьями, комиссиями по делам несовершеннолетних и защите их прав 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50,0</w:t>
            </w:r>
          </w:p>
        </w:tc>
      </w:tr>
      <w:tr>
        <w:trPr>
          <w:trHeight w:val="525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116 01070 01 0000  140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both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Административные штрафы, установленные  Главой 7 Кодекса Российской Федерации об 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40,1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116 01073 01 0000 140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both"/>
              <w:rPr>
                <w:i/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Административные штрафы, установленные  Главой 7 Кодекса Российской Федерации об  административных правонарушениях, за административные правонарушения в области охраны собственности, налагаемые  мировыми судьями, комиссиями по делам несовершеннолетних и защите их прав 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40,1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116 01140 01 0000 140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both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 и деятельности саморегулируемых организаций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right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50,0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116  01144 01 0000 140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both"/>
              <w:rPr>
                <w:b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 и деятельности саморегулируемых организаций, выявленные должностными лицами муниципального контроля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116 01 150 01 0000 140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both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Административные штрафы, установленные Главой 15 Кодекса Российской Федерации об административных 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60,0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116 01154 01 0000 140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Административные штрафы, установленные Главой 15 Кодекса Российской Федерации об административных 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60,0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116 07010 00 0000 140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116 07010 05 0000 140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200 00000 00 0000 000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4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379256,32249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202 00000 00 0000 000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4" w:hanging="0"/>
              <w:jc w:val="both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БЕЗВОЗМЕЗДНЫЕ ПОСТУПЛЕНИЯ  ОТ ДРУГИХ  БЮДЖЕТОВ  БЮДЖЕТНОЙ СИСТЕМЫ РОССИЙСКОЙ ФЕДЕРАЦИИ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right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379256,32249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shd w:val="clear" w:color="auto" w:fill="FFFFFF" w:themeFill="background1"/>
              <w:rPr>
                <w:b/>
                <w:b/>
                <w:i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202 10000 00 0000 150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shd w:val="clear" w:color="auto" w:fill="FFFFFF" w:themeFill="background1"/>
              <w:ind w:left="4" w:hanging="0"/>
              <w:jc w:val="both"/>
              <w:rPr>
                <w:b/>
                <w:b/>
                <w:i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 xml:space="preserve">Дотации бюджетам бюджетов Российской Федерации 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shd w:val="clear" w:color="auto" w:fill="FFFFFF" w:themeFill="background1"/>
              <w:jc w:val="right"/>
              <w:rPr>
                <w:b/>
                <w:b/>
                <w:i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119584,2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shd w:val="clear" w:color="auto" w:fill="FFFFFF" w:themeFill="background1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202 15001 00 0000 150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shd w:val="clear" w:color="auto" w:fill="FFFFFF" w:themeFill="background1"/>
              <w:ind w:left="4" w:hanging="0"/>
              <w:jc w:val="both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Дотации на выравнивание бюджетной обеспеченности 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shd w:val="clear" w:color="auto" w:fill="FFFFFF" w:themeFill="background1"/>
              <w:jc w:val="right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114620,9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202 15001 05 0000 150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4" w:hanging="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Дотации  бюджетам муниципальных районов на выравнивание бюджетной обеспеченности  из бюджетов субъекта  Российской Федерации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114620,9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i/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202 15002 00 0000 150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4" w:hanging="0"/>
              <w:jc w:val="both"/>
              <w:rPr>
                <w:i/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Дотации  бюджетам на поддержку мер по обеспечению сбалансированности бюджетов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i/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4963,3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202  15002 05 0000 150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4" w:hanging="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Дотации  бюджетам  муниципальных районов на поддержку мер по обеспечению сбалансированности бюджетов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4963,3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b/>
                <w:b/>
                <w:i/>
                <w:i/>
                <w:color w:val="000000"/>
                <w:sz w:val="16"/>
                <w:szCs w:val="16"/>
              </w:rPr>
            </w:pPr>
            <w:r>
              <w:rPr>
                <w:b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b/>
                <w:i/>
                <w:color w:val="000000"/>
                <w:sz w:val="16"/>
                <w:szCs w:val="16"/>
              </w:rPr>
              <w:t>202 20000 00 0000 150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4" w:hanging="0"/>
              <w:jc w:val="both"/>
              <w:rPr>
                <w:b/>
                <w:b/>
                <w:i/>
                <w:i/>
                <w:color w:val="000000"/>
                <w:sz w:val="16"/>
                <w:szCs w:val="16"/>
              </w:rPr>
            </w:pPr>
            <w:r>
              <w:rPr>
                <w:b/>
                <w:i/>
                <w:color w:val="000000"/>
                <w:sz w:val="16"/>
                <w:szCs w:val="16"/>
              </w:rPr>
              <w:t>Субсидии бюджетам бюджетной системы  Российской Федерации  (межбюджетные субсидии)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60884,68249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202 20041 00 0000 150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4" w:hanging="0"/>
              <w:jc w:val="both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50000,0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202 20041 05 0000 150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4" w:hang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50000,0</w:t>
            </w:r>
          </w:p>
        </w:tc>
      </w:tr>
      <w:tr>
        <w:trPr>
          <w:trHeight w:val="2218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both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Субсидии, предоставляемые в целях софинансирования расходных обязательств, возникающих в связи с ремонтом дворовых территорий многоквартирных домов и социальных  объектов,  проездов к дворовым территориям многоквартирных домов и социальным объектам населенных пунктов, подготовкой проектной документации, строительством, реконструкцией, капитальным ремонтом, ремонтом и содержанием (установкой дорожных 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 с твердым покрытием до сельских населенных пунктов, не имеющих круглогодичной связи с сетью автомобильных дорог общего пользования» 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48000,0</w:t>
            </w:r>
          </w:p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2" w:hanging="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Субсидии, предоставляемые  в целях софинансирования расходных обязательств возникающих в связи с проектированием, строительством (реконструкцией), капитальным ремонтом, ремонтом и содержанием велосипедных дорожек и велосипедных парковок на территории Ульяновской области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2000,0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202 25098 00 0000 150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Субсидии бюджетам на обновление материально–технической базы для организации учебно-исследовательской, научно-технической, творческой деятельности, занятий физкультурой и спортом в образовательных организациях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42,21649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202 25098 05 0000 150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Субсидии бюджетам муниципальных районов на обновление материально–технической базы для организации учебно-исследовательской, научно-технической, творческой деятельности, занятий физкультурой и спортом в образовательных организациях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42,21649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ConsPlusNormal"/>
              <w:shd w:val="clear" w:color="auto" w:fill="FFFFFF" w:themeFill="background1"/>
              <w:ind w:hanging="0"/>
              <w:rPr>
                <w:rFonts w:ascii="PT Astra Serif" w:hAnsi="PT Astra Serif"/>
                <w:sz w:val="16"/>
                <w:szCs w:val="16"/>
              </w:rPr>
            </w:pPr>
            <w:r>
              <w:rPr>
                <w:rFonts w:ascii="PT Astra Serif" w:hAnsi="PT Astra Serif"/>
                <w:sz w:val="16"/>
                <w:szCs w:val="16"/>
              </w:rPr>
              <w:t>2 02 25228 00 0000 150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ConsPlusNormal"/>
              <w:shd w:val="clear" w:color="auto" w:fill="FFFFFF" w:themeFill="background1"/>
              <w:ind w:hanging="0"/>
              <w:jc w:val="both"/>
              <w:rPr>
                <w:rFonts w:ascii="PT Astra Serif" w:hAnsi="PT Astra Serif"/>
                <w:sz w:val="16"/>
                <w:szCs w:val="16"/>
              </w:rPr>
            </w:pPr>
            <w:r>
              <w:rPr>
                <w:rFonts w:ascii="PT Astra Serif" w:hAnsi="PT Astra Serif"/>
                <w:sz w:val="16"/>
                <w:szCs w:val="16"/>
              </w:rPr>
              <w:t>Субсидии бюджетам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2228866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ConsPlusNormal"/>
              <w:shd w:val="clear" w:color="auto" w:fill="FFFFFF" w:themeFill="background1"/>
              <w:ind w:hanging="0"/>
              <w:rPr>
                <w:rFonts w:ascii="PT Astra Serif" w:hAnsi="PT Astra Serif"/>
                <w:sz w:val="16"/>
                <w:szCs w:val="16"/>
              </w:rPr>
            </w:pPr>
            <w:r>
              <w:rPr>
                <w:rFonts w:ascii="PT Astra Serif" w:hAnsi="PT Astra Serif"/>
                <w:sz w:val="16"/>
                <w:szCs w:val="16"/>
              </w:rPr>
              <w:t>2 02 25228 05 0000 150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ConsPlusNormal"/>
              <w:shd w:val="clear" w:color="auto" w:fill="FFFFFF" w:themeFill="background1"/>
              <w:ind w:hanging="0"/>
              <w:jc w:val="both"/>
              <w:rPr>
                <w:rFonts w:ascii="PT Astra Serif" w:hAnsi="PT Astra Serif"/>
                <w:sz w:val="16"/>
                <w:szCs w:val="16"/>
              </w:rPr>
            </w:pPr>
            <w:r>
              <w:rPr>
                <w:rFonts w:ascii="PT Astra Serif" w:hAnsi="PT Astra Serif"/>
                <w:sz w:val="16"/>
                <w:szCs w:val="16"/>
              </w:rPr>
              <w:t>Субсидии в целях софинансирования расходных обязательств по оснащению объектов  спортивной инфраструктуры спортивно-технологическим оборудованием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2228,866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i/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202 25304 00 0000 150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both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6106,6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202 25304 05 0000 150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Субсидии  в целях софинансирования расходных обязательств, возникающих в связи с обеспечением бесплатным горячим питанием лиц, обучающихся по образовательным  программам начального общего образования  в муниципальных образовательных организациях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6106,6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202 25519 00 0000 150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Субсидии бюджетам на поддержку отрасли культуры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128,6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202 25519 05 0000 150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128,6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  <w:p>
            <w:pPr>
              <w:pStyle w:val="Normal"/>
              <w:shd w:val="clear" w:color="auto" w:fill="FFFFFF" w:themeFill="background1"/>
              <w:ind w:left="360" w:hanging="3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202 25576 00 0000 150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2" w:hanging="0"/>
              <w:jc w:val="both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Субсидии бюджетам  на обеспечение комплексного развития сельских территорий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1053,36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202 25576 05 0000 150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2" w:hang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Субсидии в целях софинансирования расходных обязательств, связанных с улучшением  жилищных условий граждан, проживающих на  сельских территориях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1053,36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202 29999 00 0000 150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tabs>
                <w:tab w:val="center" w:pos="2772" w:leader="none"/>
              </w:tabs>
              <w:ind w:left="32" w:hanging="0"/>
              <w:jc w:val="both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Прочие субсидии</w:t>
              <w:tab/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1325,04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202 29999 05 0000 150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2" w:hang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 субсидии бюджетам муниципальных районов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1325,04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Msonormalcxspmiddle"/>
              <w:shd w:val="clear" w:color="auto" w:fill="FFFFFF" w:themeFill="background1"/>
              <w:spacing w:lineRule="auto" w:line="204" w:before="280" w:after="280"/>
              <w:ind w:left="46" w:hang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Субсидии бюджетам  в целях софинансирования расходных обязательств, связанных с обустройством мест (площадок) накопления    твердых коммунальных отходов, в том числе для раздельного накопления твердых коммунальных отходов 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29,54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2" w:hanging="0"/>
              <w:jc w:val="both"/>
              <w:rPr>
                <w:rFonts w:ascii="PT Astra Serif" w:hAnsi="PT Astra Serif"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Субсидии на софинансирование расходных обязательств, возникающих в связи с реализацией мероприятий по обеспечению антитеррористической защищенности муниципальных образовательных  организаций  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189,2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2" w:hanging="0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Субсидии на софинансирование расходных обязательств, связанных с организацией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1100,0</w:t>
            </w:r>
          </w:p>
        </w:tc>
      </w:tr>
      <w:tr>
        <w:trPr>
          <w:trHeight w:val="1062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2" w:hanging="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Субсидии в целях софинансирования расходных обязательств возникающих в связи с организацией деятельности по оздоровлению работников органов местного самоуправления, муниципальных органов муниципальных учреждений муниципальных образований Ульяновской области, замещающих в них должности, не являющиеся муниципальными должностями или должностями муниципальной службы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6,3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both"/>
              <w:rPr>
                <w:b/>
                <w:b/>
                <w:i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202 30000 00 0000 150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72" w:hanging="0"/>
              <w:jc w:val="both"/>
              <w:rPr>
                <w:b/>
                <w:b/>
                <w:bCs/>
                <w:i/>
                <w:i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 xml:space="preserve">Субвенции бюджетам бюджетной системы  Российской Федерации 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181860,74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both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202 30024 00 0000 150</w:t>
            </w:r>
          </w:p>
          <w:p>
            <w:pPr>
              <w:pStyle w:val="Normal"/>
              <w:shd w:val="clear" w:color="auto" w:fill="FFFFFF" w:themeFill="background1"/>
              <w:ind w:left="360" w:hanging="3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72" w:hanging="0"/>
              <w:jc w:val="both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16227,88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both"/>
              <w:rPr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202 30024 05 0000 150</w:t>
            </w: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72" w:hanging="0"/>
              <w:jc w:val="both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16227,88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72" w:hanging="0"/>
              <w:jc w:val="both"/>
              <w:rPr>
                <w:color w:val="000000"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Субвенции  в целях   финансового обеспечения  расходных обязательств, связанных с расчётом и предоставлением дотаций  на выравнивание бюджетной обеспеченности бюджетам городских, сельских поселений 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6895,6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72" w:hang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Субвенции в целях финансового обеспечения  переданных органам местного самоуправления государственных полномочий  Ульяновской области, связанных с осуществлением  ежемесячной  денежной выплаты детям – сиротам и детям, оставшимся без попечения родителей, а также лицам из числа  детей- сирот и детей, оставшихся без попечения родителей, обучающимся в муниципальных образовательных учреждениях, на обеспечение проезда на городском, пригородном, в сельской местности на внутрирайонном транспорте (кроме такси),  а также проезда один раз в год к месту жительства и обратно к месту  учебы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346,1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72" w:hanging="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Субвенции в целях финансового обеспечения </w:t>
            </w:r>
            <w:r>
              <w:rPr>
                <w:bCs/>
                <w:sz w:val="16"/>
                <w:szCs w:val="16"/>
              </w:rPr>
              <w:t xml:space="preserve"> осуществления государственных полномочий  Ульяновской области по организации и обеспечению оздоровления детей и обеспечению отдыха детей, обучающихся в общеобразовательных организациях, в том числе детей, находящихся в трудной жизненной ситуации, и детей из многодетных семей,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пребыванием), детских лагерях труда и отдыха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1703,1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72" w:hanging="0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Субвенции  на  финансовое обеспечение в целях осуществления переданных органам местного самоуправления государственных полномочий Ульяновской области, связанных с осуществлением  опеки и попечительства в отношении несовершеннолетних 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1020,4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72" w:hanging="0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Субвенции в целях финансового обеспечения   осуществления государственных полномочий по выплате родителям или иным законным представителям  обучающихся, получающих начальное общее, основное общее или среднее образование в форме семейного образования на территории Ульяновской области, компенсации затрат в связи с обеспечением получения такого образования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91,6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72" w:hanging="0"/>
              <w:jc w:val="both"/>
              <w:rPr>
                <w:bCs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Субвенции  в целях финансового обеспечения исполнения государственных полномочий </w:t>
            </w:r>
            <w:r>
              <w:rPr>
                <w:bCs/>
                <w:sz w:val="16"/>
                <w:szCs w:val="16"/>
              </w:rPr>
              <w:t xml:space="preserve"> Ульяновской области, связанных с осуществлением обучающимся 10-х(11-х) и 11-х(12-х) классов муниципальных общеобразовательных организаций ежемесячных денежных выплат 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57,4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72" w:hanging="0"/>
              <w:jc w:val="both"/>
              <w:rPr>
                <w:color w:val="000000"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Субвенции  </w:t>
            </w:r>
            <w:r>
              <w:rPr>
                <w:sz w:val="16"/>
                <w:szCs w:val="16"/>
              </w:rPr>
              <w:t xml:space="preserve">в целях финансового обеспечения  преданных органам местного самоуправления государственных полномочий Ульяновской области </w:t>
            </w:r>
            <w:r>
              <w:rPr>
                <w:bCs/>
                <w:sz w:val="16"/>
                <w:szCs w:val="16"/>
              </w:rPr>
              <w:t xml:space="preserve">по  предоставлению  бесплатно специальных учебников и учебных пособий, иной учебной литературы, а также услуг сурдопереводчиков и тифлосурдопереводчиков  при получении обучающимися с ограниченными  возможностями здоровья образования в муниципальных образовательных организациях  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261,6 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72" w:hanging="0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Субвенции   в целях финансового обеспечения  осуществления государственных полномочий Ульяновской области, связанных с организацией и обеспечением получения педагогическими работниками  муниципальных образовательных организаций не реже чем один раз в три года  дополнительного  профессионального образования по профилю педагогической деятельности за счет бюджетных  ассигнований областного бюджета Ульяновской области 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787,8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72" w:hanging="0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Субвенции  в целях  финансового обеспечения переданных органами местного самоуправления государственных полномочий Ульяновской области организации и обеспечению  деятельности муниципальных комиссий по  делам несовершеннолетних и защите их прав в Ульяновской области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978,7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72" w:hanging="0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Субвенции  в целях  финансового обеспечения переданных органам местного самоуправления государственных полномочий Ульяновской области по определению перечня должностных лиц органов местного самоуправления, уполномоченных составлять протоколы об отдельных административных правонарушениях, предусмотренных Кодексом Ульяновской</w:t>
            </w:r>
          </w:p>
          <w:p>
            <w:pPr>
              <w:pStyle w:val="Normal"/>
              <w:shd w:val="clear" w:color="auto" w:fill="FFFFFF" w:themeFill="background1"/>
              <w:ind w:left="72" w:hanging="0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области об административных правонарушениях 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2,88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72" w:hanging="0"/>
              <w:jc w:val="both"/>
              <w:rPr>
                <w:color w:val="000000"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Субвенции  в целях финансового обеспечения расходных обязательств, направленных на </w:t>
            </w:r>
            <w:r>
              <w:rPr>
                <w:sz w:val="16"/>
                <w:szCs w:val="16"/>
              </w:rPr>
              <w:t>осуществление переданных органам местного самоуправления государственных полномочий Ульяновской области</w:t>
            </w:r>
            <w:r>
              <w:rPr>
                <w:bCs/>
                <w:sz w:val="16"/>
                <w:szCs w:val="16"/>
              </w:rPr>
              <w:t xml:space="preserve"> по  хранению, комплектованию, учету и использованию архивных документов, относящихся к государственной собственности  Ульяновской области и находящихся на территориях  муниципальных районов   Ульяновской области 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199,8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72" w:hanging="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</w:t>
            </w:r>
            <w:r>
              <w:rPr>
                <w:bCs/>
                <w:sz w:val="16"/>
                <w:szCs w:val="16"/>
              </w:rPr>
              <w:t xml:space="preserve">убвенции   в целях финансового обеспечения переданных органам местного самоуправления государственных полномочий Ульяновской области по предоставлению мер 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в качестве  основного (уставного) вида деятельности образовательную деятельность  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356,4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72" w:hanging="0"/>
              <w:jc w:val="both"/>
              <w:rPr>
                <w:color w:val="000000"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Субвенции  в целях финансового  обеспечения  расходных обязательств, связанных с организацией мероприятий  при осуществлении деятельности по обращению с животными без владельцев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37,7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72" w:hanging="0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Субвенции в целях финансового обеспечения переданных органам местного самоуправления государственных полномочий Ульяновской области  по проведению на территории Ульяновской области  публичных мероприятий 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8,2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72" w:hanging="0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Субвенции    в целях  финансового обеспечения расходного обязательства, связанного с установлением нормативов потребления населением твердого топлива  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9,0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spacing w:before="40" w:after="0"/>
              <w:ind w:left="72" w:hang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Субвенции  бюджетам  в целях финансового обеспечения   осуществления  переданных органам местного самоуправления государственных полномочий Ульяновской области по предоставлению  родителям (законным представителям) детей, посещающих муниципальные  и частные образовательные организации, реализующие образовательную программу дошкольного образования, компенсации части внесенной в соответствующие образовательные организации родительской платы за присмотр и уход за детьми   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3471,6</w:t>
            </w:r>
          </w:p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both"/>
              <w:rPr>
                <w:b/>
                <w:b/>
                <w:i/>
                <w:i/>
                <w:color w:val="000000"/>
                <w:sz w:val="16"/>
                <w:szCs w:val="16"/>
              </w:rPr>
            </w:pPr>
            <w:r>
              <w:rPr>
                <w:b/>
                <w:i/>
                <w:color w:val="000000"/>
                <w:sz w:val="16"/>
                <w:szCs w:val="16"/>
              </w:rPr>
              <w:t>202 30027 00 0000 150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72" w:hanging="0"/>
              <w:jc w:val="both"/>
              <w:rPr>
                <w:b/>
                <w:b/>
                <w:bCs/>
                <w:i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Субвенции бюджетам 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b/>
                <w:b/>
                <w:i/>
                <w:i/>
                <w:color w:val="000000"/>
                <w:sz w:val="16"/>
                <w:szCs w:val="16"/>
              </w:rPr>
            </w:pPr>
            <w:r>
              <w:rPr>
                <w:b/>
                <w:i/>
                <w:color w:val="000000"/>
                <w:sz w:val="16"/>
                <w:szCs w:val="16"/>
              </w:rPr>
              <w:t>12433,3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202 30027 05 0000 150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spacing w:before="40" w:after="0"/>
              <w:ind w:left="72" w:hang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Субвенции  в целях  финансового обеспечения переданных органам местного самоуправления государственных полномочий Ульяновской области, связанных с осуществлением  ежемесячной выплаты на содержание ребенка опекуну (попечителю) и приемной семье, а также по  осуществлению выплаты вознаграждения, причитающегося приемному родителю 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12433,3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both"/>
              <w:rPr>
                <w:b/>
                <w:b/>
                <w:i/>
                <w:i/>
                <w:color w:val="000000"/>
                <w:sz w:val="16"/>
                <w:szCs w:val="16"/>
              </w:rPr>
            </w:pPr>
            <w:r>
              <w:rPr>
                <w:b/>
                <w:i/>
                <w:color w:val="000000"/>
                <w:sz w:val="16"/>
                <w:szCs w:val="16"/>
              </w:rPr>
              <w:t>202 35120 00 0000 150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spacing w:before="40" w:after="0"/>
              <w:ind w:left="72" w:hanging="0"/>
              <w:jc w:val="both"/>
              <w:rPr>
                <w:b/>
                <w:b/>
                <w:i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Субвенции бюджетам  на осуществление полномочий по составлению (изменению) списков кандидатов в присяжные  заседатели  федеральных  судов общей юрисдикции в Российской Федерации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b/>
                <w:b/>
                <w:i/>
                <w:i/>
                <w:color w:val="000000"/>
                <w:sz w:val="16"/>
                <w:szCs w:val="16"/>
              </w:rPr>
            </w:pPr>
            <w:r>
              <w:rPr>
                <w:b/>
                <w:i/>
                <w:color w:val="000000"/>
                <w:sz w:val="16"/>
                <w:szCs w:val="16"/>
              </w:rPr>
              <w:t>2,6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202 35120 05 0000 150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spacing w:before="40" w:after="0"/>
              <w:ind w:left="72" w:hang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Субвенции в целях финансового обеспечения осуществления  полномочий по составлению (изменению) списков кандидатов в присяжные  заседатели федеральных судов общей юрисдикции в Российской Федерации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both"/>
              <w:rPr>
                <w:b/>
                <w:b/>
                <w:i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202 35930  00 0000 150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72" w:hanging="0"/>
              <w:jc w:val="both"/>
              <w:rPr>
                <w:b/>
                <w:b/>
                <w:bCs/>
                <w:i/>
                <w:i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b/>
                <w:b/>
                <w:i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624,66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both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202 35930  05 0000 150</w:t>
            </w:r>
          </w:p>
          <w:p>
            <w:pPr>
              <w:pStyle w:val="Normal"/>
              <w:shd w:val="clear" w:color="auto" w:fill="FFFFFF" w:themeFill="background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shd w:val="clear" w:color="auto" w:fill="FFFFFF" w:themeFill="background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shd w:val="clear" w:color="auto" w:fill="FFFFFF" w:themeFill="background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shd w:val="clear" w:color="auto" w:fill="FFFFFF" w:themeFill="background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shd w:val="clear" w:color="auto" w:fill="FFFFFF" w:themeFill="background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72" w:hanging="0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Субвенции в целях финансового обеспечения расходных обязательств, связанных с осуществлением переданных органам государственной власти  субъектов Российской Федерации в соответствии с пунктом 1 статьи 4 Федерального закона  от 15 ноября 1997 года №143-фз «Об актах гражданского состояния» полномочий Российской Федерации на государственную регистрацию актов гражданского состояния 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624,66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both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202  39999 00 0000 150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72" w:hanging="0"/>
              <w:jc w:val="both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>Прочие субвенции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152572,3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202  39999 05 0000 150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72" w:hanging="0"/>
              <w:jc w:val="both"/>
              <w:rPr>
                <w:b/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Прочие субвенции бюджетам муниципальных районов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152572,3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72" w:hanging="0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Субвенции   в целях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32174,8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72" w:hanging="0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Субвенции   в целях финансового 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 дополнительного образования в муниципальных общеобразовательных организациях  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120397,5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both"/>
              <w:rPr>
                <w:b/>
                <w:b/>
                <w:i/>
                <w:i/>
                <w:color w:val="000000"/>
                <w:sz w:val="16"/>
                <w:szCs w:val="16"/>
              </w:rPr>
            </w:pPr>
            <w:r>
              <w:rPr>
                <w:b/>
                <w:i/>
                <w:color w:val="000000"/>
                <w:sz w:val="16"/>
                <w:szCs w:val="16"/>
              </w:rPr>
              <w:t>202 40000 00 0000 150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72" w:hanging="0"/>
              <w:jc w:val="both"/>
              <w:rPr>
                <w:b/>
                <w:b/>
                <w:i/>
                <w:i/>
                <w:sz w:val="16"/>
                <w:szCs w:val="16"/>
              </w:rPr>
            </w:pPr>
            <w:r>
              <w:rPr>
                <w:b/>
                <w:i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tabs>
                <w:tab w:val="left" w:pos="195" w:leader="none"/>
                <w:tab w:val="right" w:pos="1764" w:leader="none"/>
              </w:tabs>
              <w:ind w:left="360" w:hanging="360"/>
              <w:jc w:val="right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16926,7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both"/>
              <w:rPr>
                <w:b/>
                <w:b/>
                <w:i/>
                <w:i/>
                <w:color w:val="000000"/>
                <w:sz w:val="16"/>
                <w:szCs w:val="16"/>
              </w:rPr>
            </w:pPr>
            <w:r>
              <w:rPr>
                <w:b/>
                <w:i/>
                <w:color w:val="000000"/>
                <w:sz w:val="16"/>
                <w:szCs w:val="16"/>
              </w:rPr>
              <w:t>202 40014 00 0000 150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72" w:hanging="0"/>
              <w:jc w:val="both"/>
              <w:rPr>
                <w:b/>
                <w:b/>
                <w:i/>
                <w:i/>
                <w:color w:val="000000"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Межбюджетные трансферты, передаваемые бюджетам 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tabs>
                <w:tab w:val="left" w:pos="195" w:leader="none"/>
                <w:tab w:val="right" w:pos="1764" w:leader="none"/>
              </w:tabs>
              <w:ind w:left="360" w:hanging="360"/>
              <w:jc w:val="right"/>
              <w:rPr>
                <w:i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5739,2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both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202 40014 05 0000 150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72" w:hanging="0"/>
              <w:jc w:val="both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Межбюджетные трансферты, передаваемые бюджетам  муниципальных 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tabs>
                <w:tab w:val="left" w:pos="195" w:leader="none"/>
                <w:tab w:val="right" w:pos="1764" w:leader="none"/>
              </w:tabs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5739,2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both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202 45303 00 0,000 150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72" w:hang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Межбюджетные трансферты на ежемесячное денежное вознаграждение за классное руководство 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tabs>
                <w:tab w:val="left" w:pos="195" w:leader="none"/>
                <w:tab w:val="right" w:pos="1764" w:leader="none"/>
              </w:tabs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9374,4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both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202 45303 05 0000 150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72" w:hang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Межбюджетные трансферты в целях финансового обеспечения предоставления  ежемесячного вознаграждения за классное руководство  педагогическим работникам 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tabs>
                <w:tab w:val="left" w:pos="195" w:leader="none"/>
                <w:tab w:val="right" w:pos="1764" w:leader="none"/>
              </w:tabs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9374,4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202 45179 00 0000 150</w:t>
            </w:r>
          </w:p>
          <w:p>
            <w:pPr>
              <w:pStyle w:val="Normal"/>
              <w:shd w:val="clear" w:color="auto" w:fill="FFFFFF" w:themeFill="background1"/>
              <w:ind w:left="360" w:hanging="36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72" w:hang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Межбюджетные трансферты бюджетам  на  проведения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tabs>
                <w:tab w:val="left" w:pos="195" w:leader="none"/>
                <w:tab w:val="right" w:pos="1764" w:leader="none"/>
              </w:tabs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1213,1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202 45179 05 0000 150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72" w:hang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Межбюджетные трансферты в целях финансового обеспечения проведения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tabs>
                <w:tab w:val="left" w:pos="195" w:leader="none"/>
                <w:tab w:val="right" w:pos="1764" w:leader="none"/>
              </w:tabs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1213,1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both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202 49999 00 0000 150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72" w:hang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 межбюджетные трансферты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tabs>
                <w:tab w:val="left" w:pos="195" w:leader="none"/>
                <w:tab w:val="right" w:pos="1764" w:leader="none"/>
              </w:tabs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600,0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both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202 49999 05 0000 150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72" w:hang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 межбюджетные трансферты в целях финансового обеспечения расходных обязательств, связанных с приобретением автомобилей для организации и осуществления мероприятий по работе с семьями, имеющими детей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tabs>
                <w:tab w:val="left" w:pos="195" w:leader="none"/>
                <w:tab w:val="right" w:pos="1764" w:leader="none"/>
              </w:tabs>
              <w:ind w:left="360" w:hanging="3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600,0</w:t>
            </w:r>
          </w:p>
        </w:tc>
      </w:tr>
      <w:tr>
        <w:trPr>
          <w:trHeight w:val="20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72" w:hanging="0"/>
              <w:jc w:val="both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ind w:left="360" w:hanging="360"/>
              <w:jc w:val="right"/>
              <w:rPr>
                <w:b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434178,51249</w:t>
            </w:r>
          </w:p>
        </w:tc>
      </w:tr>
    </w:tbl>
    <w:p>
      <w:pPr>
        <w:pStyle w:val="Normal"/>
        <w:shd w:val="clear" w:color="auto" w:fill="FFFFFF" w:themeFill="background1"/>
        <w:jc w:val="both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</w:r>
    </w:p>
    <w:p>
      <w:pPr>
        <w:pStyle w:val="Normal"/>
        <w:shd w:val="clear" w:color="auto" w:fill="FFFFFF" w:themeFill="background1"/>
        <w:jc w:val="both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>3. Приложение 4 изложить в следующей редакции:</w:t>
      </w:r>
    </w:p>
    <w:p>
      <w:pPr>
        <w:pStyle w:val="Normal"/>
        <w:shd w:val="clear" w:color="auto" w:fill="FFFFFF" w:themeFill="background1"/>
        <w:ind w:left="6372" w:hanging="0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>«Приложение 4</w:t>
      </w:r>
    </w:p>
    <w:p>
      <w:pPr>
        <w:pStyle w:val="Normal"/>
        <w:shd w:val="clear" w:color="auto" w:fill="FFFFFF" w:themeFill="background1"/>
        <w:ind w:left="6372" w:hanging="0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>к решению Совета депутатов</w:t>
      </w:r>
    </w:p>
    <w:p>
      <w:pPr>
        <w:pStyle w:val="Normal"/>
        <w:shd w:val="clear" w:color="auto" w:fill="FFFFFF" w:themeFill="background1"/>
        <w:ind w:left="6372" w:hanging="0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 xml:space="preserve">муниципального образования </w:t>
      </w:r>
    </w:p>
    <w:p>
      <w:pPr>
        <w:pStyle w:val="Normal"/>
        <w:shd w:val="clear" w:color="auto" w:fill="FFFFFF" w:themeFill="background1"/>
        <w:ind w:left="6372" w:hanging="0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>«Тереньгульский район»</w:t>
      </w:r>
    </w:p>
    <w:p>
      <w:pPr>
        <w:pStyle w:val="Normal"/>
        <w:shd w:val="clear" w:color="auto" w:fill="FFFFFF" w:themeFill="background1"/>
        <w:ind w:left="6372" w:hanging="0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 xml:space="preserve">«О бюджете муниципального </w:t>
      </w:r>
    </w:p>
    <w:p>
      <w:pPr>
        <w:pStyle w:val="Normal"/>
        <w:shd w:val="clear" w:color="auto" w:fill="FFFFFF" w:themeFill="background1"/>
        <w:ind w:left="6372" w:hanging="0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 xml:space="preserve">образования «Тереньгульский </w:t>
      </w:r>
    </w:p>
    <w:p>
      <w:pPr>
        <w:pStyle w:val="Normal"/>
        <w:shd w:val="clear" w:color="auto" w:fill="FFFFFF" w:themeFill="background1"/>
        <w:ind w:left="6372" w:hanging="0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>район» на 2023 год и на</w:t>
      </w:r>
    </w:p>
    <w:p>
      <w:pPr>
        <w:pStyle w:val="Normal"/>
        <w:shd w:val="clear" w:color="auto" w:fill="FFFFFF" w:themeFill="background1"/>
        <w:ind w:left="6372" w:hanging="0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>плановый период 2024 и 2025 годов»</w:t>
      </w:r>
    </w:p>
    <w:p>
      <w:pPr>
        <w:pStyle w:val="Normal"/>
        <w:shd w:val="clear" w:color="auto" w:fill="FFFFFF" w:themeFill="background1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</w:r>
    </w:p>
    <w:p>
      <w:pPr>
        <w:pStyle w:val="8"/>
        <w:shd w:val="clear" w:color="auto" w:fill="FFFFFF" w:themeFill="background1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>Источники внутреннего финансирования дефицита</w:t>
      </w:r>
    </w:p>
    <w:p>
      <w:pPr>
        <w:pStyle w:val="8"/>
        <w:shd w:val="clear" w:color="auto" w:fill="FFFFFF" w:themeFill="background1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 xml:space="preserve"> </w:t>
      </w:r>
      <w:r>
        <w:rPr>
          <w:rFonts w:ascii="PT Astra Serif" w:hAnsi="PT Astra Serif"/>
          <w:sz w:val="16"/>
          <w:szCs w:val="16"/>
        </w:rPr>
        <w:t xml:space="preserve">бюджета  муниципального образования </w:t>
      </w:r>
    </w:p>
    <w:p>
      <w:pPr>
        <w:pStyle w:val="Normal"/>
        <w:shd w:val="clear" w:color="auto" w:fill="FFFFFF" w:themeFill="background1"/>
        <w:jc w:val="center"/>
        <w:rPr>
          <w:rFonts w:ascii="PT Astra Serif" w:hAnsi="PT Astra Serif"/>
          <w:b/>
          <w:b/>
          <w:sz w:val="16"/>
          <w:szCs w:val="16"/>
        </w:rPr>
      </w:pPr>
      <w:r>
        <w:rPr>
          <w:rFonts w:ascii="PT Astra Serif" w:hAnsi="PT Astra Serif"/>
          <w:b/>
          <w:sz w:val="16"/>
          <w:szCs w:val="16"/>
        </w:rPr>
        <w:t>«Тереньгульский район»  на 2023 год</w:t>
      </w:r>
    </w:p>
    <w:p>
      <w:pPr>
        <w:pStyle w:val="Style16"/>
        <w:shd w:val="clear" w:color="auto" w:fill="FFFFFF" w:themeFill="background1"/>
        <w:jc w:val="right"/>
        <w:rPr>
          <w:rFonts w:ascii="PT Astra Serif" w:hAnsi="PT Astra Serif"/>
          <w:bCs w:val="false"/>
          <w:color w:val="00000A"/>
          <w:sz w:val="16"/>
          <w:szCs w:val="16"/>
        </w:rPr>
      </w:pPr>
      <w:r>
        <w:rPr>
          <w:rFonts w:ascii="PT Astra Serif" w:hAnsi="PT Astra Serif"/>
          <w:bCs w:val="false"/>
          <w:color w:val="00000A"/>
          <w:sz w:val="16"/>
          <w:szCs w:val="16"/>
        </w:rPr>
      </w:r>
    </w:p>
    <w:p>
      <w:pPr>
        <w:pStyle w:val="Style16"/>
        <w:shd w:val="clear" w:color="auto" w:fill="FFFFFF" w:themeFill="background1"/>
        <w:ind w:left="7788" w:firstLine="708"/>
        <w:rPr>
          <w:rFonts w:ascii="PT Astra Serif" w:hAnsi="PT Astra Serif" w:cs="Arial"/>
          <w:b w:val="false"/>
          <w:b w:val="false"/>
          <w:bCs w:val="false"/>
          <w:sz w:val="16"/>
          <w:szCs w:val="16"/>
        </w:rPr>
      </w:pPr>
      <w:r>
        <w:rPr>
          <w:rFonts w:cs="Arial" w:ascii="PT Astra Serif" w:hAnsi="PT Astra Serif"/>
          <w:b w:val="false"/>
          <w:bCs w:val="false"/>
          <w:sz w:val="16"/>
          <w:szCs w:val="16"/>
        </w:rPr>
        <w:t>Тыс.руб.</w:t>
      </w:r>
    </w:p>
    <w:p>
      <w:pPr>
        <w:pStyle w:val="Style16"/>
        <w:shd w:val="clear" w:color="auto" w:fill="FFFFFF" w:themeFill="background1"/>
        <w:ind w:left="7788" w:firstLine="708"/>
        <w:rPr>
          <w:rFonts w:ascii="PT Astra Serif" w:hAnsi="PT Astra Serif" w:cs="Arial"/>
          <w:b w:val="false"/>
          <w:b w:val="false"/>
          <w:bCs w:val="false"/>
          <w:sz w:val="16"/>
          <w:szCs w:val="16"/>
        </w:rPr>
      </w:pPr>
      <w:r>
        <w:rPr>
          <w:rFonts w:cs="Arial" w:ascii="PT Astra Serif" w:hAnsi="PT Astra Serif"/>
          <w:b w:val="false"/>
          <w:bCs w:val="false"/>
          <w:sz w:val="16"/>
          <w:szCs w:val="16"/>
        </w:rPr>
      </w:r>
    </w:p>
    <w:tbl>
      <w:tblPr>
        <w:tblW w:w="9664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3060"/>
        <w:gridCol w:w="4860"/>
        <w:gridCol w:w="1744"/>
      </w:tblGrid>
      <w:tr>
        <w:trPr>
          <w:tblHeader w:val="true"/>
          <w:trHeight w:val="20" w:hRule="atLeast"/>
          <w:cantSplit w:val="true"/>
        </w:trPr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shd w:val="clear" w:color="auto" w:fill="FFFFFF" w:themeFill="background1"/>
              <w:rPr>
                <w:rFonts w:ascii="PT Astra Serif" w:hAnsi="PT Astra Serif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PT Astra Serif" w:hAnsi="PT Astra Serif"/>
                <w:b w:val="false"/>
                <w:bCs w:val="false"/>
                <w:sz w:val="16"/>
                <w:szCs w:val="16"/>
              </w:rPr>
              <w:t>Код</w:t>
            </w:r>
          </w:p>
        </w:tc>
        <w:tc>
          <w:tcPr>
            <w:tcW w:w="4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shd w:val="clear" w:color="auto" w:fill="FFFFFF" w:themeFill="background1"/>
              <w:rPr>
                <w:rFonts w:ascii="PT Astra Serif" w:hAnsi="PT Astra Serif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PT Astra Serif" w:hAnsi="PT Astra Serif"/>
                <w:b w:val="false"/>
                <w:bCs w:val="false"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>
              <w:rPr>
                <w:rFonts w:ascii="PT Astra Serif" w:hAnsi="PT Astra Serif"/>
                <w:color w:val="000000"/>
                <w:sz w:val="16"/>
                <w:szCs w:val="16"/>
              </w:rPr>
              <w:t>2022 год</w:t>
            </w:r>
          </w:p>
        </w:tc>
      </w:tr>
      <w:tr>
        <w:trPr>
          <w:tblHeader w:val="true"/>
          <w:trHeight w:val="20" w:hRule="atLeast"/>
          <w:cantSplit w:val="true"/>
        </w:trPr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shd w:val="clear" w:color="auto" w:fill="FFFFFF" w:themeFill="background1"/>
              <w:rPr>
                <w:rFonts w:ascii="PT Astra Serif" w:hAnsi="PT Astra Serif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PT Astra Serif" w:hAnsi="PT Astra Serif"/>
                <w:b w:val="false"/>
                <w:bCs w:val="false"/>
                <w:sz w:val="16"/>
                <w:szCs w:val="16"/>
              </w:rPr>
              <w:t>1</w:t>
            </w:r>
          </w:p>
        </w:tc>
        <w:tc>
          <w:tcPr>
            <w:tcW w:w="4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shd w:val="clear" w:color="auto" w:fill="FFFFFF" w:themeFill="background1"/>
              <w:rPr>
                <w:rFonts w:ascii="PT Astra Serif" w:hAnsi="PT Astra Serif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PT Astra Serif" w:hAnsi="PT Astra Serif"/>
                <w:b w:val="false"/>
                <w:bCs w:val="false"/>
                <w:sz w:val="16"/>
                <w:szCs w:val="16"/>
              </w:rPr>
              <w:t>2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>
              <w:rPr>
                <w:rFonts w:ascii="PT Astra Serif" w:hAnsi="PT Astra Serif"/>
                <w:color w:val="000000"/>
                <w:sz w:val="16"/>
                <w:szCs w:val="16"/>
              </w:rPr>
              <w:t>3</w:t>
            </w:r>
          </w:p>
        </w:tc>
      </w:tr>
      <w:tr>
        <w:trPr>
          <w:tblHeader w:val="true"/>
          <w:trHeight w:val="20" w:hRule="atLeast"/>
          <w:cantSplit w:val="true"/>
        </w:trPr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shd w:val="clear" w:color="auto" w:fill="FFFFFF" w:themeFill="background1"/>
              <w:jc w:val="left"/>
              <w:rPr>
                <w:rFonts w:ascii="PT Astra Serif" w:hAnsi="PT Astra Serif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PT Astra Serif" w:hAnsi="PT Astra Serif"/>
                <w:b w:val="false"/>
                <w:bCs w:val="false"/>
                <w:sz w:val="16"/>
                <w:szCs w:val="16"/>
              </w:rPr>
              <w:t>90 00 00 00 00 0000 000</w:t>
            </w:r>
          </w:p>
        </w:tc>
        <w:tc>
          <w:tcPr>
            <w:tcW w:w="4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shd w:val="clear" w:color="auto" w:fill="FFFFFF" w:themeFill="background1"/>
              <w:jc w:val="left"/>
              <w:rPr>
                <w:rFonts w:ascii="PT Astra Serif" w:hAnsi="PT Astra Serif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PT Astra Serif" w:hAnsi="PT Astra Serif"/>
                <w:b w:val="false"/>
                <w:bCs w:val="false"/>
                <w:sz w:val="16"/>
                <w:szCs w:val="16"/>
              </w:rPr>
              <w:t>Источники финансирования дефицита бюджетов – Всего.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</w:pPr>
            <w:r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4609</w:t>
            </w:r>
            <w:r>
              <w:rPr>
                <w:rFonts w:ascii="PT Astra Serif" w:hAnsi="PT Astra Serif"/>
                <w:color w:val="000000"/>
                <w:sz w:val="16"/>
                <w:szCs w:val="16"/>
              </w:rPr>
              <w:t>,</w:t>
            </w:r>
            <w:r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07999</w:t>
            </w:r>
          </w:p>
        </w:tc>
      </w:tr>
      <w:tr>
        <w:trPr>
          <w:tblHeader w:val="true"/>
          <w:trHeight w:val="20" w:hRule="atLeast"/>
          <w:cantSplit w:val="true"/>
        </w:trPr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shd w:val="clear" w:color="auto" w:fill="FFFFFF" w:themeFill="background1"/>
              <w:jc w:val="left"/>
              <w:rPr>
                <w:rFonts w:ascii="PT Astra Serif" w:hAnsi="PT Astra Serif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PT Astra Serif" w:hAnsi="PT Astra Serif"/>
                <w:b w:val="false"/>
                <w:bCs w:val="false"/>
                <w:sz w:val="16"/>
                <w:szCs w:val="16"/>
              </w:rPr>
              <w:t>01 05 00 00 00 0000 000</w:t>
            </w:r>
          </w:p>
        </w:tc>
        <w:tc>
          <w:tcPr>
            <w:tcW w:w="4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shd w:val="clear" w:color="auto" w:fill="FFFFFF" w:themeFill="background1"/>
              <w:jc w:val="left"/>
              <w:rPr>
                <w:rFonts w:ascii="PT Astra Serif" w:hAnsi="PT Astra Serif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PT Astra Serif" w:hAnsi="PT Astra Serif"/>
                <w:b w:val="false"/>
                <w:bCs w:val="false"/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</w:pPr>
            <w:r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4609</w:t>
            </w:r>
            <w:r>
              <w:rPr>
                <w:rFonts w:ascii="PT Astra Serif" w:hAnsi="PT Astra Serif"/>
                <w:color w:val="000000"/>
                <w:sz w:val="16"/>
                <w:szCs w:val="16"/>
              </w:rPr>
              <w:t>,</w:t>
            </w:r>
            <w:r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07999</w:t>
            </w:r>
          </w:p>
        </w:tc>
      </w:tr>
      <w:tr>
        <w:trPr>
          <w:tblHeader w:val="true"/>
          <w:trHeight w:val="20" w:hRule="atLeast"/>
          <w:cantSplit w:val="true"/>
        </w:trPr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shd w:val="clear" w:color="auto" w:fill="FFFFFF" w:themeFill="background1"/>
              <w:jc w:val="left"/>
              <w:rPr>
                <w:rFonts w:ascii="PT Astra Serif" w:hAnsi="PT Astra Serif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PT Astra Serif" w:hAnsi="PT Astra Serif"/>
                <w:b w:val="false"/>
                <w:bCs w:val="false"/>
                <w:sz w:val="16"/>
                <w:szCs w:val="16"/>
              </w:rPr>
              <w:t>01 05 00 00 00 0000 500</w:t>
            </w:r>
          </w:p>
        </w:tc>
        <w:tc>
          <w:tcPr>
            <w:tcW w:w="4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shd w:val="clear" w:color="auto" w:fill="FFFFFF" w:themeFill="background1"/>
              <w:jc w:val="both"/>
              <w:rPr>
                <w:rFonts w:ascii="PT Astra Serif" w:hAnsi="PT Astra Serif"/>
                <w:bCs w:val="false"/>
                <w:sz w:val="16"/>
                <w:szCs w:val="16"/>
              </w:rPr>
            </w:pPr>
            <w:r>
              <w:rPr>
                <w:rFonts w:ascii="PT Astra Serif" w:hAnsi="PT Astra Serif"/>
                <w:b w:val="false"/>
                <w:bCs w:val="false"/>
                <w:sz w:val="16"/>
                <w:szCs w:val="16"/>
              </w:rPr>
              <w:t xml:space="preserve">Увеличение остатков средств бюджетов 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-</w:t>
            </w:r>
            <w:r>
              <w:rPr>
                <w:rFonts w:ascii="PT Astra Serif" w:hAnsi="PT Astra Serif"/>
                <w:color w:val="000000"/>
                <w:sz w:val="16"/>
                <w:szCs w:val="16"/>
              </w:rPr>
              <w:t>434178,51249</w:t>
            </w:r>
          </w:p>
        </w:tc>
      </w:tr>
      <w:tr>
        <w:trPr>
          <w:tblHeader w:val="true"/>
          <w:trHeight w:val="20" w:hRule="atLeast"/>
          <w:cantSplit w:val="true"/>
        </w:trPr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shd w:val="clear" w:color="auto" w:fill="FFFFFF" w:themeFill="background1"/>
              <w:jc w:val="left"/>
              <w:rPr>
                <w:rFonts w:ascii="PT Astra Serif" w:hAnsi="PT Astra Serif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PT Astra Serif" w:hAnsi="PT Astra Serif"/>
                <w:b w:val="false"/>
                <w:bCs w:val="false"/>
                <w:sz w:val="16"/>
                <w:szCs w:val="16"/>
              </w:rPr>
              <w:t>01 05 02 00 00 0000 500</w:t>
            </w:r>
          </w:p>
        </w:tc>
        <w:tc>
          <w:tcPr>
            <w:tcW w:w="4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shd w:val="clear" w:color="auto" w:fill="FFFFFF" w:themeFill="background1"/>
              <w:jc w:val="both"/>
              <w:rPr>
                <w:rFonts w:ascii="PT Astra Serif" w:hAnsi="PT Astra Serif"/>
                <w:bCs w:val="false"/>
                <w:sz w:val="16"/>
                <w:szCs w:val="16"/>
              </w:rPr>
            </w:pPr>
            <w:r>
              <w:rPr>
                <w:rFonts w:ascii="PT Astra Serif" w:hAnsi="PT Astra Serif"/>
                <w:b w:val="false"/>
                <w:bCs w:val="false"/>
                <w:sz w:val="16"/>
                <w:szCs w:val="16"/>
              </w:rPr>
              <w:t xml:space="preserve">Увеличение прочих остатков  средств бюджетов 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-</w:t>
            </w:r>
            <w:r>
              <w:rPr>
                <w:rFonts w:ascii="PT Astra Serif" w:hAnsi="PT Astra Serif"/>
                <w:color w:val="000000"/>
                <w:sz w:val="16"/>
                <w:szCs w:val="16"/>
              </w:rPr>
              <w:t>434178,51249</w:t>
            </w:r>
          </w:p>
        </w:tc>
      </w:tr>
      <w:tr>
        <w:trPr>
          <w:tblHeader w:val="true"/>
          <w:trHeight w:val="20" w:hRule="atLeast"/>
          <w:cantSplit w:val="true"/>
        </w:trPr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shd w:val="clear" w:color="auto" w:fill="FFFFFF" w:themeFill="background1"/>
              <w:jc w:val="left"/>
              <w:rPr>
                <w:rFonts w:ascii="PT Astra Serif" w:hAnsi="PT Astra Serif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PT Astra Serif" w:hAnsi="PT Astra Serif"/>
                <w:b w:val="false"/>
                <w:bCs w:val="false"/>
                <w:sz w:val="16"/>
                <w:szCs w:val="16"/>
              </w:rPr>
              <w:t>01 05 02 01 00 0000 510</w:t>
            </w:r>
          </w:p>
        </w:tc>
        <w:tc>
          <w:tcPr>
            <w:tcW w:w="4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shd w:val="clear" w:color="auto" w:fill="FFFFFF" w:themeFill="background1"/>
              <w:jc w:val="both"/>
              <w:rPr>
                <w:rFonts w:ascii="PT Astra Serif" w:hAnsi="PT Astra Serif"/>
                <w:bCs w:val="false"/>
                <w:sz w:val="16"/>
                <w:szCs w:val="16"/>
              </w:rPr>
            </w:pPr>
            <w:r>
              <w:rPr>
                <w:rFonts w:ascii="PT Astra Serif" w:hAnsi="PT Astra Serif"/>
                <w:b w:val="false"/>
                <w:bCs w:val="false"/>
                <w:sz w:val="16"/>
                <w:szCs w:val="16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-</w:t>
            </w:r>
            <w:r>
              <w:rPr>
                <w:rFonts w:ascii="PT Astra Serif" w:hAnsi="PT Astra Serif"/>
                <w:color w:val="000000"/>
                <w:sz w:val="16"/>
                <w:szCs w:val="16"/>
              </w:rPr>
              <w:t>434178,51249</w:t>
            </w:r>
          </w:p>
        </w:tc>
      </w:tr>
      <w:tr>
        <w:trPr>
          <w:tblHeader w:val="true"/>
          <w:trHeight w:val="20" w:hRule="atLeast"/>
          <w:cantSplit w:val="true"/>
        </w:trPr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shd w:val="clear" w:color="auto" w:fill="FFFFFF" w:themeFill="background1"/>
              <w:jc w:val="left"/>
              <w:rPr>
                <w:rFonts w:ascii="PT Astra Serif" w:hAnsi="PT Astra Serif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PT Astra Serif" w:hAnsi="PT Astra Serif"/>
                <w:b w:val="false"/>
                <w:bCs w:val="false"/>
                <w:sz w:val="16"/>
                <w:szCs w:val="16"/>
              </w:rPr>
              <w:t>01 05 02 01 05 0000 510</w:t>
            </w:r>
          </w:p>
        </w:tc>
        <w:tc>
          <w:tcPr>
            <w:tcW w:w="4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shd w:val="clear" w:color="auto" w:fill="FFFFFF" w:themeFill="background1"/>
              <w:jc w:val="left"/>
              <w:rPr>
                <w:rFonts w:ascii="PT Astra Serif" w:hAnsi="PT Astra Serif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PT Astra Serif" w:hAnsi="PT Astra Serif"/>
                <w:b w:val="false"/>
                <w:bCs w:val="false"/>
                <w:sz w:val="16"/>
                <w:szCs w:val="16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-</w:t>
            </w:r>
            <w:r>
              <w:rPr>
                <w:rFonts w:ascii="PT Astra Serif" w:hAnsi="PT Astra Serif"/>
                <w:color w:val="000000"/>
                <w:sz w:val="16"/>
                <w:szCs w:val="16"/>
              </w:rPr>
              <w:t>434178,51249</w:t>
            </w:r>
          </w:p>
        </w:tc>
      </w:tr>
      <w:tr>
        <w:trPr>
          <w:tblHeader w:val="true"/>
          <w:trHeight w:val="20" w:hRule="atLeast"/>
          <w:cantSplit w:val="true"/>
        </w:trPr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shd w:val="clear" w:color="auto" w:fill="FFFFFF" w:themeFill="background1"/>
              <w:jc w:val="left"/>
              <w:rPr>
                <w:rFonts w:ascii="PT Astra Serif" w:hAnsi="PT Astra Serif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PT Astra Serif" w:hAnsi="PT Astra Serif"/>
                <w:b w:val="false"/>
                <w:bCs w:val="false"/>
                <w:sz w:val="16"/>
                <w:szCs w:val="16"/>
              </w:rPr>
              <w:t>01 05 00 00 00 0000 600</w:t>
            </w:r>
          </w:p>
        </w:tc>
        <w:tc>
          <w:tcPr>
            <w:tcW w:w="4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shd w:val="clear" w:color="auto" w:fill="FFFFFF" w:themeFill="background1"/>
              <w:jc w:val="left"/>
              <w:rPr>
                <w:rFonts w:ascii="PT Astra Serif" w:hAnsi="PT Astra Serif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PT Astra Serif" w:hAnsi="PT Astra Serif"/>
                <w:b w:val="false"/>
                <w:bCs w:val="false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>
              <w:rPr>
                <w:rFonts w:ascii="PT Astra Serif" w:hAnsi="PT Astra Serif"/>
                <w:color w:val="000000"/>
                <w:sz w:val="16"/>
                <w:szCs w:val="16"/>
              </w:rPr>
              <w:t>438787,59248</w:t>
            </w:r>
          </w:p>
        </w:tc>
      </w:tr>
      <w:tr>
        <w:trPr>
          <w:tblHeader w:val="true"/>
          <w:trHeight w:val="20" w:hRule="atLeast"/>
          <w:cantSplit w:val="true"/>
        </w:trPr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shd w:val="clear" w:color="auto" w:fill="FFFFFF" w:themeFill="background1"/>
              <w:jc w:val="left"/>
              <w:rPr>
                <w:rFonts w:ascii="PT Astra Serif" w:hAnsi="PT Astra Serif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PT Astra Serif" w:hAnsi="PT Astra Serif"/>
                <w:b w:val="false"/>
                <w:bCs w:val="false"/>
                <w:sz w:val="16"/>
                <w:szCs w:val="16"/>
              </w:rPr>
              <w:t>01 05 02 00 00 0000 600</w:t>
            </w:r>
          </w:p>
        </w:tc>
        <w:tc>
          <w:tcPr>
            <w:tcW w:w="4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shd w:val="clear" w:color="auto" w:fill="FFFFFF" w:themeFill="background1"/>
              <w:jc w:val="left"/>
              <w:rPr>
                <w:rFonts w:ascii="PT Astra Serif" w:hAnsi="PT Astra Serif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PT Astra Serif" w:hAnsi="PT Astra Serif"/>
                <w:b w:val="false"/>
                <w:bCs w:val="false"/>
                <w:sz w:val="16"/>
                <w:szCs w:val="16"/>
              </w:rPr>
              <w:t>Уменьшение прочих остатков  средств бюджетов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>
              <w:rPr>
                <w:rFonts w:ascii="PT Astra Serif" w:hAnsi="PT Astra Serif"/>
                <w:color w:val="000000"/>
                <w:sz w:val="16"/>
                <w:szCs w:val="16"/>
              </w:rPr>
              <w:t>438787,59248</w:t>
            </w:r>
          </w:p>
        </w:tc>
      </w:tr>
      <w:tr>
        <w:trPr>
          <w:tblHeader w:val="true"/>
          <w:trHeight w:val="20" w:hRule="atLeast"/>
          <w:cantSplit w:val="true"/>
        </w:trPr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shd w:val="clear" w:color="auto" w:fill="FFFFFF" w:themeFill="background1"/>
              <w:jc w:val="left"/>
              <w:rPr>
                <w:rFonts w:ascii="PT Astra Serif" w:hAnsi="PT Astra Serif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PT Astra Serif" w:hAnsi="PT Astra Serif"/>
                <w:b w:val="false"/>
                <w:bCs w:val="false"/>
                <w:sz w:val="16"/>
                <w:szCs w:val="16"/>
              </w:rPr>
              <w:t>01 05 02 01 00 0000 610</w:t>
            </w:r>
          </w:p>
        </w:tc>
        <w:tc>
          <w:tcPr>
            <w:tcW w:w="4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shd w:val="clear" w:color="auto" w:fill="FFFFFF" w:themeFill="background1"/>
              <w:jc w:val="left"/>
              <w:rPr>
                <w:rFonts w:ascii="PT Astra Serif" w:hAnsi="PT Astra Serif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PT Astra Serif" w:hAnsi="PT Astra Serif"/>
                <w:b w:val="false"/>
                <w:bCs w:val="false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>
              <w:rPr>
                <w:rFonts w:ascii="PT Astra Serif" w:hAnsi="PT Astra Serif"/>
                <w:color w:val="000000"/>
                <w:sz w:val="16"/>
                <w:szCs w:val="16"/>
              </w:rPr>
              <w:t>438787,59248</w:t>
            </w:r>
          </w:p>
        </w:tc>
      </w:tr>
      <w:tr>
        <w:trPr>
          <w:tblHeader w:val="true"/>
          <w:trHeight w:val="20" w:hRule="atLeast"/>
          <w:cantSplit w:val="true"/>
        </w:trPr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shd w:val="clear" w:color="auto" w:fill="FFFFFF" w:themeFill="background1"/>
              <w:jc w:val="left"/>
              <w:rPr>
                <w:rFonts w:ascii="PT Astra Serif" w:hAnsi="PT Astra Serif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PT Astra Serif" w:hAnsi="PT Astra Serif"/>
                <w:b w:val="false"/>
                <w:bCs w:val="false"/>
                <w:sz w:val="16"/>
                <w:szCs w:val="16"/>
              </w:rPr>
              <w:t>01 05 02 01 05 0000 610</w:t>
            </w:r>
          </w:p>
        </w:tc>
        <w:tc>
          <w:tcPr>
            <w:tcW w:w="4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shd w:val="clear" w:color="auto" w:fill="FFFFFF" w:themeFill="background1"/>
              <w:jc w:val="left"/>
              <w:rPr>
                <w:rFonts w:ascii="PT Astra Serif" w:hAnsi="PT Astra Serif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PT Astra Serif" w:hAnsi="PT Astra Serif"/>
                <w:b w:val="false"/>
                <w:bCs w:val="false"/>
                <w:sz w:val="16"/>
                <w:szCs w:val="16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>
              <w:rPr>
                <w:rFonts w:ascii="PT Astra Serif" w:hAnsi="PT Astra Serif"/>
                <w:color w:val="000000"/>
                <w:sz w:val="16"/>
                <w:szCs w:val="16"/>
              </w:rPr>
              <w:t>438787,59248</w:t>
            </w:r>
          </w:p>
        </w:tc>
      </w:tr>
    </w:tbl>
    <w:p>
      <w:pPr>
        <w:pStyle w:val="Normal"/>
        <w:shd w:val="clear" w:color="auto" w:fill="FFFFFF" w:themeFill="background1"/>
        <w:jc w:val="both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>».</w:t>
      </w:r>
    </w:p>
    <w:p>
      <w:pPr>
        <w:pStyle w:val="Normal"/>
        <w:shd w:val="clear" w:color="auto" w:fill="FFFFFF" w:themeFill="background1"/>
        <w:jc w:val="both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</w:r>
    </w:p>
    <w:p>
      <w:pPr>
        <w:pStyle w:val="Normal"/>
        <w:shd w:val="clear" w:color="auto" w:fill="FFFFFF" w:themeFill="background1"/>
        <w:jc w:val="both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>4. Приложение 6 изложить в следующей редакции:</w:t>
      </w:r>
    </w:p>
    <w:p>
      <w:pPr>
        <w:pStyle w:val="Normal"/>
        <w:shd w:val="clear" w:color="auto" w:fill="FFFFFF" w:themeFill="background1"/>
        <w:jc w:val="both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>«</w:t>
      </w:r>
    </w:p>
    <w:tbl>
      <w:tblPr>
        <w:tblW w:w="9923" w:type="dxa"/>
        <w:jc w:val="left"/>
        <w:tblInd w:w="-34" w:type="dxa"/>
        <w:tblBorders/>
        <w:tblCellMar>
          <w:top w:w="0" w:type="dxa"/>
          <w:left w:w="113" w:type="dxa"/>
          <w:bottom w:w="0" w:type="dxa"/>
          <w:right w:w="108" w:type="dxa"/>
        </w:tblCellMar>
        <w:tblLook w:val="04a0"/>
      </w:tblPr>
      <w:tblGrid>
        <w:gridCol w:w="6096"/>
        <w:gridCol w:w="520"/>
        <w:gridCol w:w="440"/>
        <w:gridCol w:w="1200"/>
        <w:gridCol w:w="460"/>
        <w:gridCol w:w="1206"/>
      </w:tblGrid>
      <w:tr>
        <w:trPr>
          <w:trHeight w:val="20" w:hRule="atLeast"/>
        </w:trPr>
        <w:tc>
          <w:tcPr>
            <w:tcW w:w="6096" w:type="dxa"/>
            <w:tcBorders/>
            <w:shd w:color="auto" w:fill="auto" w:val="clear"/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</w:r>
          </w:p>
        </w:tc>
        <w:tc>
          <w:tcPr>
            <w:tcW w:w="520" w:type="dxa"/>
            <w:tcBorders/>
            <w:shd w:color="auto" w:fill="auto" w:val="clear"/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</w:r>
          </w:p>
        </w:tc>
        <w:tc>
          <w:tcPr>
            <w:tcW w:w="440" w:type="dxa"/>
            <w:tcBorders/>
            <w:shd w:color="auto" w:fill="auto" w:val="clear"/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</w:r>
          </w:p>
        </w:tc>
        <w:tc>
          <w:tcPr>
            <w:tcW w:w="2866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Приложение 6</w:t>
            </w:r>
          </w:p>
        </w:tc>
      </w:tr>
      <w:tr>
        <w:trPr>
          <w:trHeight w:val="20" w:hRule="atLeast"/>
        </w:trPr>
        <w:tc>
          <w:tcPr>
            <w:tcW w:w="6096" w:type="dxa"/>
            <w:tcBorders/>
            <w:shd w:color="auto" w:fill="auto" w:val="clear"/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</w:r>
          </w:p>
        </w:tc>
        <w:tc>
          <w:tcPr>
            <w:tcW w:w="520" w:type="dxa"/>
            <w:tcBorders/>
            <w:shd w:color="auto" w:fill="auto" w:val="clear"/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</w:r>
          </w:p>
        </w:tc>
        <w:tc>
          <w:tcPr>
            <w:tcW w:w="440" w:type="dxa"/>
            <w:tcBorders/>
            <w:shd w:color="auto" w:fill="auto" w:val="clear"/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</w:r>
          </w:p>
        </w:tc>
        <w:tc>
          <w:tcPr>
            <w:tcW w:w="2866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к решению Совета депутатов муниципального образования "Тереньгульский район" "О бюджете муниципального образования "Тереньгульский район" на 2023 год и на плановый период 2024 и 2025 годов </w:t>
            </w:r>
          </w:p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</w:r>
          </w:p>
        </w:tc>
      </w:tr>
      <w:tr>
        <w:trPr>
          <w:trHeight w:val="20" w:hRule="atLeast"/>
        </w:trPr>
        <w:tc>
          <w:tcPr>
            <w:tcW w:w="9922" w:type="dxa"/>
            <w:gridSpan w:val="6"/>
            <w:tcBorders/>
            <w:shd w:color="auto" w:fill="auto" w:val="clear"/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Распределение бюджетных ассигнований бюджета муниципального образования "Тереньгульский район" на 2023 год по разделам, подразделам, целевым статьям (муниципальным программам и непрограммным направлениям деятельности) и видам расходов  классификации расходов бюджетов 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</w:r>
          </w:p>
        </w:tc>
        <w:tc>
          <w:tcPr>
            <w:tcW w:w="520" w:type="dxa"/>
            <w:tcBorders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</w:r>
          </w:p>
        </w:tc>
        <w:tc>
          <w:tcPr>
            <w:tcW w:w="440" w:type="dxa"/>
            <w:tcBorders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</w:r>
          </w:p>
        </w:tc>
        <w:tc>
          <w:tcPr>
            <w:tcW w:w="1200" w:type="dxa"/>
            <w:tcBorders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</w:r>
          </w:p>
        </w:tc>
        <w:tc>
          <w:tcPr>
            <w:tcW w:w="460" w:type="dxa"/>
            <w:tcBorders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</w:r>
          </w:p>
        </w:tc>
        <w:tc>
          <w:tcPr>
            <w:tcW w:w="1206" w:type="dxa"/>
            <w:tcBorders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тыс.руб.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Наименования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РЗ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ЦС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ВР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Сумма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38409,42165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794,40000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"Муниципальное управление"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785,50000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"Обеспечение деятельности муниципального учреждения Совет депутатов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43 0 01 00000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785,50000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43 0 01 02040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785,50000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43 0 01 02040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393,90000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43 0 01 02040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221,10000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43 0 01 02040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23,60000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43 0 01 02040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146,90000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«Развитие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«Тереньгульский район»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5,90000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 «Создание условий для обеспечения права граждан на доступ к информации о деятельности органов местного самоуправления муниципального учреждения Совет депутатов муниципального образования «Тереньгульский район»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68 0 02 00000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5,90000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сфере информационных технологий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68 0 02 21900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5,90000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68 0 02 21900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5,90000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"Развитие муниципального управления в муниципальном образовании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«Формирование высококвалифицированного кадрового состава муниципальной службы, обеспечивающего эффективность муниципального управления»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15699,98400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"Муниципальное управление"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15699,98400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"Обеспечение деятельности муниципального учреждения Администрация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43 0 02 00000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14695,98400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43 0 02 02040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14695,98400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43 0 02 02040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10771,30000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43 0 02 02040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3253,00000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выплаты персоналу муниципальных органов , за исключением фонда оплаты труда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43 0 02 02040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122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30,20000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43 0 02 02040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150,70000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43 0 02 02040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490,78400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"Обеспечение деятельности Главы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43 0 03 00000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1004,00000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43 0 03 02080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1004,00000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43 0 03 02080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771,10000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43 0 03 02080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232,90000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2,60000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2,60000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Осуществление отдельных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50 0 00 51200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2,60000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50 0 00 51200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2,60000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6502,14500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50 0 00 00000 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821,04500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50 0 00 02040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817,80000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50 0 00 02040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584,90000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50 0 00 02040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176,60000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50 0 00 02040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56,30000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расчётом и предоставлением дотаций на выравнивание бюджетной обеспеченности бюджетам поселений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50 0 00 71310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3,24500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50 0 00 71310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2,26574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50 0 00 71310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0,68426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50 0 00 71310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0,29500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"Управление муниципальными финансами муниципального образования "Тереньгульский район" Ульяновской области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5667,10000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"Обеспечение выполнения функций финансового отдела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41 0 01 00000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5667,10000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41 0 01 02040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5667,10000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41 0 01 02040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3638,30000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41 0 01 02040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1531,60000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41 0 01 02040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350,20000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Уплата иных  платежей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41 0 01 02040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147,00000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"Развитие муниципального управления в муниципальном образовании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«Формирование высококвалифицированного кадрового состава муниципальной службы, обеспечивающего эффективность муниципального управления»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Резервные фонды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Резервные фонды местных администраций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50 0 00 07050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Резервные средства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50 0 00 07050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15260,29265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1189,58000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Финансовое обеспечение расходных обязательств, связанных с проведением на территории Ульяновской области публичных мероприятий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50 0 00 71030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8,20000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50 0 00 71030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2,76600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50 0 00 71030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0,83400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50 0 00 71030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4,60000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Финансовое обеспечение расходных обязательств, связанных с хранением, комплектованием, учётом и использованием архивных документов,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50 0 00 71320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199,80000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50 0 00 71320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138,11100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50 0 00 71320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41,70900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50 0 00 71320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19,98000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организацией и обеспечением деятельности муниципальных комиссий по делам несовершеннолетних и защите их прав в Ульяновской области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978,70000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706,74000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213,40000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58,56000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расходного обязательства, связанного с определением перечня должностных лиц органов местного самоуправления, уполномоченных составлять протоколы об отдельных административных правонарушениях, предусмотренных Кодексом Ульяновской области об административных правонарушениях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50 0 00 71020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2,88000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50 0 00 71020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2,07400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50 0 00 71020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0,62600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50 0 00 71020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0,18000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"Материально-техническое обеспечение деятельности органов местного самоуправления муниципального образования "Тереньгульский район"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9167,30000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направление" Обеспечение деятельности учреждений по обеспечению хозяйственного обслуживания"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9167,30000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Учреждения по обеспечению хозяйственного обслуживания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9167,30000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4550,00000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112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10,06000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1374,10000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1819,84000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1203,40000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19,30000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190,60000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Муниципальные программы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4903,41265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«Управление муниципальным имуществом и регулирование земельных отношений муниципального образования «Тереньгульский район» Ульяновской области»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3361,61265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"Обеспечение выполнения функций управления муниципальным имуществом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42 0 01 00000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2630,90000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42 0 01 02040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2630,90000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42 0 01 02040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1381,20000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42 0 01 02040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842,10000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42 0 01 02040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225,80000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42 0 01 02040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157,80000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42 0 01 02040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831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2,98475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42 0 01 02040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21,01525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"Проведение оценки недвижимости, признание прав и регулирование отношений по государственной и муниципальной собственности"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42 0 02 00000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730,71265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01 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42 0 02 09020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730,71265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42 0 02 09020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730,71265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"Противодействие коррупции в муниципальном образовании "Тереньгульский район" Ульяновской области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66 0 00 00000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«Развитие организационных мер по предупреждению и профилактике коррупции в органах местного самоуправления муниципального образования «Тереньгульский район».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66 0 01 00000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66 0 01 00000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«Развитие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«Тереньгульский район»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988,70000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 «Создание условий для обеспечения права граждан на доступ к информации о деятельности органов местного самоуправления муниципального учреждения Администрация муниципального образования «Тереньгульский район»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68 0 01 00000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241,20000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сфере информационных технологий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68 0 01 21900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241,20000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68 0 01 21900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241,20000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 «Создание условий для обеспечения права граждан на доступ к информации о деятельности органов местного самоуправления муниципального учреждения "Техническое обслуживание" муниципального образования «Тереньгульский район»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68 0 03 00000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747,50000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сфере информационных технологий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68 0 03 21900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747,50000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68 0 03 21900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707,50000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68 0 03 21900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242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"Гражданское общество и государственная национальная политика на территории муниципального образования "Тереньгульский район"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292,80000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Подпрограмма «Содействие развитию институтов гражданского общества и поддержка социально ориентированных некоммерческих организаций и добровольческой (волонтёрской) деятельности в муниципальном образовании «Тереньгульский район»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69 1 00 00000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«Оказание мер для поддержки социально ориентированных некоммерческих организаций»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69 1 01 00000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69 1 01 00000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69 1 01 00000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632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Подпрограмма «Укрепление единства российской нации и этнокультурное развитие народов России на территории муниципального образования «Тереньгульский район»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69 2 00 00000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58,80000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«Укрепление гражданского единства многонационального народа, содействие сохранению и развитию этнокультурного многообразия народов России на территории муниципального образования «Тереньгульский район»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69 2 01 00000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58,80000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69 2 01 00000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58,80000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Подпрограмма "Увековечение памяти погибших при защите Отечества"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69 3 00 00000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202,00000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"Мероприятия в сфере обустройства мест захоронения останков погибших при защите Отечества, обнаруженных в ходе проведения поисковых работ, благоустройство мемориальных сооружений воинских захоронений по месту захоронения"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69 3 01 00000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202,00000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69 3 01 00000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202,00000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Муниципальная программа «Энергосбережение и повышение энергетической эффективности на территории муниципального образования «Тереньгульский район»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71 0 00 00000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«Меры поддержки реализации энергосберегающих и энергоэффективных мероприятий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71 0 01 00000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Реализация организационных, технических и технологических  мероприятий по энергосбережению и повышению энергетической эффективности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71 0 01 21490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71 0 01 21490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 «Комплексные меры по профилактике правонарушений, противодействию злоупотреблению алкоголем, наркотиками, курительными смесями и их незаконному обороту на территории муниципального образования  «Тереньгульский район»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73 0 00 00000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«Организационно-правовое обеспечение антинаркотической деятельности»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73 0 01 00000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73 0 01 00000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"Развитие муниципального управления в муниципальном образовании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149,30000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«Формирование высококвалифицированного кадрового состава муниципальной службы, обеспечивающего эффективность муниципального управления»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149,30000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69,30000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2427,16000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Органы юстиции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624,66000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624,66000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Осуществление переданных органам государственной власти субъектов  РФ в соответствии с пунктом 1 статьи 4 ФЗ от 15 ноября 1997 года №143-ФЗ "Об актах гражданского состояния" полномочий РФ  на государственную регистрацию актов гражданского состояния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50 0 00 59300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624,66000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50 0 00 59300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443,00000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50 0 00 59300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133,80000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50 0 00 59300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242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50 0 00 59300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35,86000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Гражданская оборона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Муниципальная программа "Организация и осуществление мероприятий по  гражданской обороне, защите населения и территорий муниципального образования "Тереньгульский район" от чрезвычайных ситуаций природного и техногенного характера"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64 0 00 00000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«Обеспечение необходимых  условий безопасности жизнедеятельности населения Тереньгульского района в условиях особого периода и в случаях возникновения ЧС природного и техногенного характера»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64 0 01 00000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64 0 01 21800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64 0 01 21800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1762,50000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"Материально-техническое обеспечение деятельности органов местного самоуправления муниципального образования "Тереньгульский район"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1662,70000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направление" Обеспечение деятельности учреждений по обеспечению хозяйственного обслуживания"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1662,70000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Учреждения по обеспечению хозяйственного обслуживания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44 0 01 09300 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1662,70000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1223,30000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369,40000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«Развитие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«Тереньгульский район»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99,80000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 «Создание условий для обеспечения права граждан на доступ к информации о деятельности органов местного самоуправления муниципального учреждения "Техническое обслуживание" муниципального образования «Тереньгульский район»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68 0 03 00000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99,80000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сфере информационных технологий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68 0 03 21900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99,80000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68 0 03 21900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242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62,00000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68 0 03 21900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37,80000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Национальная  экономика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63335,75734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37,70000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37,70000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отловом и содержанием животных без владельца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37,70000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37,70000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Транспорт                                                           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1160,00000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"Поддержка и развитие пассажирского автомобильного транспорта общего пользования на территории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978,63715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«Создание условий для устойчивого и безопасного функционирования пассажирского автомобильного транспорта, направленного на удовлетворение потребности всех слоев населения в транспортных услугах»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45 0 01 00000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978,63715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 на организацию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45 0 01 72370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918,63715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45 0 01 72370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918,63715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 на софинансирование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 0 01 S2370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 0 01 S2370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181,36285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 на организацию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04 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50 0 00 72370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181,36285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50 0 00 72370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521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181,36285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61703,05734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Реализация государственных программ Ульяновской области  органами местного самоуправления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50759,52888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Средства, предоставляемые в целях софинансирования расходных обязательств, возникающих в связи с проектированием, строительством (реконструкцией), капитальным ремонтом, ремонтом и содержанием велосипедных дорожек и велосипедных парковок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50 0 00 70603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2000,00000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50 0 00 70603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521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2000,00000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Средства, предоставляемые в целях софинансирования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населенных объектов населенных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пользования.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50 0 00 70604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48000,00000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50 0 00 70604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28470,38446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50 0 00 70604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521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19529,61554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Реализация мероприятий по восстановлению освещения дорожного полотна за счет безвозмездных поступлений (пожертвований)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50 0 00 73010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759,52888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50 0 00 73010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759,52888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«Безопасные и качественные дороги муниципального образования «Тереньгульский район» Ульяновской области»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10943,52846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Подпрограмма «Развитие системы дорожного хозяйства муниципального образования «Тереньгульский район»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75 1 00 00000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10943,52846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«Содержание автомобильных дорог общего пользования местного значения на уровне, допустимом нормативами, для обеспечения их сохранности»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75 1 01 00000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6434,91298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Содержание и управление дорожным хозяйством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75 1 01 03150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6434,91298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75 1 01 03150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1728,08154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75 1 01 03150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4556,83144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75 1 01 03150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«Ремонт автомобильных дорог общего пользования местного значения, мостов и иных искусственных дорожных сооружений, находящихся в неудовлетворительном и аварийном состоянии»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75 1 02 00000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4508,61548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Содержание и управление дорожным хозяйством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75 1 02 03150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4508,61548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75 1 02 03150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4508,61548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435,00000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«Развитие малого и среднего предпринимательства в муниципальном образовании  «Тереньгульский район» Ульяновской области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67 0 00 00000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«Оказание государственной поддержки субъектам малого и среднего предпринимательства Ульяновской области в целях развития предпринимательства»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67 0 01 00000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Предоставление средств субъектам малого и среднего предпринимательства на компенсацию части затрат, связанных с осуществлением деятельности, направленной на развитие малого и среднего предпринимательства муниципального образования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67 0 01 21480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67 0 01 21480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67 0 01 21480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633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"Защита прав потребителей в муниципальном образовании "Тереньгульский район" Ульяновской области"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46 0 00 00000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46 0 00 00000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3754,41600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Жилищное хозяйство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285,00000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285,00000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Капитальный ремонт муниципального жилья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50 0 00 03520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285,00000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50 0 00 03520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285,00000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2568,00000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2568,00000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Финансовое обеспечение расходных обязательств, связанных с погашением задолженности в рамках субсидиарной ответственности за МКП "Белогорское коммунальное хозяйство"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50 0 00 03550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2568,00000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50 0 00 03550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2568,00000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901,41600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320,87600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расходного обязательства, связанного с установлением нормативов потребления населением твёрдого топлива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4,60000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1,40000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50 0 00 05260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152,92800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50 0 00 05260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152,92800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по техническому обслуживанию  объектов газоснабжения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50 0 00 21440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158,94800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50 0 00 21440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158,94800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Муниципальная программа "Развитие жилищно-коммунального хозяйства в муниципальном образовании "Тереньгульский район" 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580,54000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Подпрограмма "Восстановление систем водоснабжения и водоотведения на территории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76 1 00 00000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293,00000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Основное мероприятие «Обеспечение водоснабжением населения муниципального образования «Тереньгульский район»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76 1 01 00000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293,00000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Финансовое обеспечение на ремонтные работы объектов водоснабжения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76 1 01 21410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293,00000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76 1 01 21410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293,00000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Подпрограмма "Экология и охрана окружающей среды на территории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76 5 00 00000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287,54000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"Создание санкционированных мест сбора ТКО в соответствии с действующим законодательством"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76 5 01 00000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57,54000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Средства, на реализацию расходных обязательств, связанных с оборудованием контейнерных площадок в населенных пунктах Ульяновской области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5 01 S0070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57,54000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5 01 S0070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57,54000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76 5 02 00000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230,00000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Средства на реализацию расходных обязательств, связанных с ликвидацией несанкционированных свалок на территории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76 5 02 21460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230,00000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76 5 02 21460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230,00000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Образование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261329,28451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Дошкольное образование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42377,59960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42377,59960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42377,59960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Повышение  доступности   качественного  образования для  всех  категорий  обучающихся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10202,79960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казенных учреждений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1864,86671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563,18975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873,90400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380,00000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6232,63914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198,20000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77,00000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72 0 02 71190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32174,80000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72 0 02 71190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6915,00000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72 0 02 71190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2083,80000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72 0 02 71190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112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72 0 02 71190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548,00000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72 0 02 71190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22615,00000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72 0 02 71190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Общее образование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197194,59755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197044,59755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72 0 00 70980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189,20000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72 0 00 70980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189,20000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S0980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9,96000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S0980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9,96000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осуществлением обучающимся 10-х (11-х) и 11-х (12-х) классов муниципальных общеобразовательных организаций ежемесячных денежных выплат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72 0 00 71170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57,40000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72 0 00 71170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0,30000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Иные выплаты населению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72 0 00 71170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360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72 0 00 71170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37,10000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L3040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6231,22450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L3040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2572,12245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L3040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3659,10205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190500,52440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Повышение  доступности   качественного  образования для  всех  категорий  обучающихся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54624,32440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казенных учреждений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11406,52137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3444,76945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12450,99784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5197,05000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166,30000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20416,48574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701,00000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831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191,50000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181,70000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408,00000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72 0 02 53030 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9374,40000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72 0 02 53030 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3600,00000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72 0 02 53030 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1087,20000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72 0 02 53030 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4687,20000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обеспечением дополнительного образования в муниципальных общеобразовательных организациях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72 0 02 71140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120397,50000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72 0 02 71140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42980,00000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72 0 02 71140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12955,80000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72 0 02 71140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112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72 0 02 71140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3386,80000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72 0 02 71140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60884,90000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72 0 02 71140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72 0 02 71150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261,60000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72 0 02 71150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131,30000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72 0 02 71150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130,30000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72 0 02 71200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787,80000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72 0 02 71200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397,80000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72 0 02 71200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390,00000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Финансовое обеспечение расходных обязательств, связанных с компенсацией родителям или иным законным представителям обучающихся затрат, связанных с обеспечением получения начального общего, основного общего или среднего общего образования в форме семейного образования на территории Ульяновской области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72 0 02 71330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91,60000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72 0 02 71330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91,60000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 на поддержку мер по обеспечению сбалансированности местных бюджетов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72 0 02 72110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4963,30000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72 0 02 72110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4963,30000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"Реализация регионального проекта "Успех каждого ребенка", направленного  на достижение целей, показателей и результатов федерального проекта "Успех каждого ребенка"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E2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56,28865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E2 50980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56,28865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E2 50980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56,28865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 «Комплексные меры по профилактике правонарушений, противодействию злоупотреблению алкоголем, наркотиками, курительными смесями и их незаконному обороту на территории муниципального образования  «Тереньгульский район»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73 0 00 00000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«Организационно-правовое обеспечение антинаркотической деятельности»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73 0 01 00000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73 0 01 00000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75,20000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73 0 01 00000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74,80000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10897,82007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 "Культура муниципального образования 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3060,54302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Основное мероприятие "Обеспечение доступных качественных услуг в учреждениях культуры муниципального образования " Тереньгульский район"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70 0 01 00000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3060,54302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Учреждения по внешкольной работе с детьми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70 0 01 42300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3060,54302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70 0 01 42300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3021,54302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70 0 01 42300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39,00000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7837,27705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7837,27705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Повышение  доступности   качественного  образования для  всех  категорий  обучающихся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7837,27705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7757,27705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Молодежная политика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1739,10000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1703,10000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на осуществление переданных органов местного самоуправления государственных полномочий Ульяновской области по организации и обеспечению оздоровления детей и обеспечения отдыха детей, обучающихся в общеобразовательных организациях, в том числе детей -сирот и детей, оставшихся без попечения родителей, детей, в трудной жизненной ситуации, и детей из многодетных семей,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пребыванием), детских лагерях труда и отдыха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72 0 00 71180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1703,10000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72 0 00 71180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860,06550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72 0 00 71180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843,03450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"Молодёжь"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63 0 00 00000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36,00000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«Реализация механизмов развития молодёжной политики»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63 0 01 00000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36,00000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Проведение мероприятий для детей и молодёжи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63 0 01 41240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36,00000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63 0 01 41240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36,00000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9120,16729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9120,16729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72 0 00 02040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1204,04584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Фонд оплаты труда муниципальных органов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72 0 00 02040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924,76639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72 0 00 02040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279,27945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6703,02145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Повышение  доступности   качественного  образования для  всех  категорий  обучающихся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6703,02145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казенных учреждений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3808,91290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1150,29555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853,38300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825,43000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"Реализация регионального проекта "Патриотическое воспитание граждан Российской Федерации", направленного на достижение целей, показателей и результатов федерального проекта "Патриотическое воспитание граждан Российской Федерации"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EB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1213,10000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EB 51790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1213,10000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казенных учреждений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EB 51790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465,86022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EB 51790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140,68978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EB 51790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606,55000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Культура, кинематография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25343,75698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Культура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14486,20000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 "Культура муниципального образования 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14396,20000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Основное мероприятие "Обеспечение доступных качественных услуг в учреждениях культуры муниципального образования " Тереньгульский район"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70 0 01 00000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14234,10000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сфере культуры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70 0 01 44000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8327,90000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70 0 01 44000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8264,90000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70 0 01 44000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63,00000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сфере библиотечного дела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70 0  01 44200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5906,20000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70 0  01 44200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5885,20000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70 0  01 44200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21,00000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Комплектование книжных фондов библиотек муниципального образования "Тереньгульский район"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L5191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162,10000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L5191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162,10000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"Развитие туризма на территории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78 0 00 00000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Мероприятие по эффективному использованию туристического потенциала района и имеющихся ресурсов, сохранение природного, культурно-исторического населения Тереньгульского района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78 0 00 61010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78 0 00 61010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Другие вопросы в области культуры, кинематографии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10857,55698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 "Культура муниципального образования 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10854,05698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70 0 00 02040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510,85698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70 0 00 02040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337,60000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70 0 00 02040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101,90000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70 0 00 02040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16,85698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70 0 00 02040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34,50000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70 0 00 02040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 "Культура муниципального образования 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10343,20000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мероприятие" Обеспечение хозяйственного обслуживания учреждений культуры"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70 0 03 00000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10343,20000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Учреждения по обеспечению хозяйственного обслуживания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70 0 03 09300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10343,20000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70 0 03 09300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7217,50000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70 0 03 09300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2161,60000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70 0 03 09300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799,80000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70 0 03 09300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91,80000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70 0 03 09300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831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47,91250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70 0 03 09300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24,58750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Муниципальные программы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 </w:t>
            </w:r>
            <w:r>
              <w:rPr>
                <w:rFonts w:cs="Arial CYR" w:ascii="PT Astra Serif" w:hAnsi="PT Astra Serif"/>
                <w:sz w:val="16"/>
                <w:szCs w:val="16"/>
              </w:rPr>
              <w:t>000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3,50000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"Развитие муниципального управления в муниципальном образовании  «Тереньгульский район»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3,50000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«Формирование высококвалифицированного кадрового состава муниципальной службы, обеспечивающего эффективность муниципального управления»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3,50000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3,50000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Здравоохранение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74,40000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74,40000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"Здоровый муниципалитет"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74,40000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Подпрограмма «Кадровое обеспечение  отрасли здравоохранения муниципального образования «Тереньгульский район»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47 1 00 00000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45,40000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47 1 00 00000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5,40000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47 1 00 00000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Социальная политика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23250,99300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Пенсионное обеспечение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3190,38800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"Муниципальное управление"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3190,38800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Доплаты к пенсиям  муниципальных служащих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43 0 00 49100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3190,38800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43 0 00 49100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31,58800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43 0 00 49100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312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3158,80000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Социальное  обеспечение населения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1736,70500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364,27500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Организация оздоровления работников бюджетной сферы на территории Ульяновской области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72 0 00 70950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6,30000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72 0 00 70950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812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6,30000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Софинансирование организации оздоровления работников бюджетной сферы на территории Ульяновской области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S0950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1,57500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S0950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812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1,57500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предоставлением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осуществляющих в качестве основного (уставного) вида деятельности образовательную деятельность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72 0 00 71230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356,40000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72 0 00 71230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1,70000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72 0 00 71230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354,70000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"Муниципальное управление"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164,63000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области социальной политики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43 0 00 05140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164,63000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43 0 00 05140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1,63000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Пособия, компенсации, меры социальной поддержки населения по публичным нормативным обязательствам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43 0 00 05140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313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163,00000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"Комплексное развитие сельских территорий в муниципальном образовании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77 0 00 00000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1108,80000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«Повышение уровня комфортного проживания в сельской местности»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77 0 01 00000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1108,80000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 на обеспечение комплексного развития сельских территорий (улучшение жилищных условий граждан, проживающих на сельских территориях)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77 0 01 L5761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1108,80000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77 0 01 L5761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322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1108,80000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Муниципальная программа "Обеспечение жильем молодых семей" муниципального образования "Тереньгульский район"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79 0 00 00000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99,00000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Софинансирование средств на реализацию мероприятий по обеспечению жильем молодых семей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79 0 00 L4970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99,00000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79 0 00 L4970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322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99,00000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Охрана семьи и детства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16251,00000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12779,40000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50 0 00 71040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346,10000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50 0 00 71040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1,84000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50 0 00 71040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159,71000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50 0 00 71040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184,55000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осуществлению выплаты вознаграждения, причитающегося приёмному родителю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50 0 00 71050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12433,30000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50 0 00 71050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50 0 00 71050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5732,80000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50 0 00 71050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323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6630,50000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3471,60000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выплатой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72 0 00 71220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3471,60000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72 0 00 71220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15,70000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72 0 00 71220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1616,60000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72 0 00 71220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1839,30000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2072,90000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1020,40000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опекой и попечительством в отношении несовершеннолетних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50 0 00 71060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1020,40000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муниципальных органов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50 0 00 71060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744,50000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50 0 00 71060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224,83900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50 0 00 71060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51,06100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900,00000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Средства на финансовое обеспечение расходных обязательств, связанных с приобретением автомобилей для организации и осуществления мероприятий по работе с семьями, имеющими детей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72 0 00 74310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900,00000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72 0 00 74310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900,00000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«Забота»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152,50000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Подпрограмма «Повышение качества жизни граждан пожилого возраста и инвалидов, граждан оказавшихся в трудной жизненной ситуации в муниципальном  образовании  «Тереньгульский район»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61 1 00 00000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52,20000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«Предоставление мер социальной поддержки»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61 1 01 00000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52,20000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Оказание социальной поддержки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61 1 01 21310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52,20000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61 1 01 21310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61 1 01 21310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32,20000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Подпрограмма «Повышение качества жизни детей и семей с детьми в муниципальном образовании «Тереньгульский район»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61 2 00 00000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100,30000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«Предоставление мер социальной поддержки»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61 2 01 00000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100,30000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Оказание материальной помощи 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61 2 01 21320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100,30000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61 2 01 21320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61 2 01 21320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811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61 2 01 21320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60,30000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2434,14800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Массовый спорт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00 0 00 00000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2274,35306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bottom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"Развитие физической культуры и спорта в муниципальном образовании 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65 0 00 00000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2274,35306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"Реализация регионального проекта "Спорт - норма жизни", направленного на достижение целей, показателей и результатов федерального проекта "Спорт - норма жизни"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bottom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65 0 Р5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2274,35306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bottom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Средства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bottom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65 0 Р5 52280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2274,35306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bottom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65 0 Р5 52280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2274,35306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159,79494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"Развитие физической культуры и спорта в муниципальном образовании 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65 0 00 00000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159,79494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 Развитие физкультуры и спорта в районе через систему физкультурно-оздоровительных и спортивно-массовых мероприятий с различными возрастными категориями и социальными группами граждан»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65 0 01 00000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159,79494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области физической культуры и спорта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65 0 01 05120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159,79494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65 0 01 05120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159,79494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18428,25500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14259,95500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"Управление муниципальными финансами муниципального образования "Тереньгульский район" Ульяновской области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14259,95500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"Совершенствование межбюджетных отношений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41 0 02 00000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14259,95500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Дотации на выравнивание бюджетной обеспеченности поселений муниципального образования "Тереньгульский район"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41 0 02 05130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14259,95500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41 0 02 05130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511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14259,95500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Прочие межбюджетные трансферты  общего характера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4168,30000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"Управление муниципальными финансами муниципального образования "Тереньгульский район" Ульяновской области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41 0 00 00000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4168,30000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мероприятий "Совершенствование межбюджетных отношений МО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41 0 02 00000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4168,30000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межбюджетные трансферты бюджетам поселений на подготовку и проведение выборов в представительные органы поселений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41 0 02 05210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2688,30000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Иные межбюджетные трансферты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41 0 02 05210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2688,30000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межбюджетные трансферты на разработку ПСД по благоустройству территории с.Введенское - р.п.Тереньга "Связь веков" в целях участия во Всероссийском конкурсе лучших проектов создания КРСТ в малых городах и исторических поселках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41 0 02 05310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1480,00000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41 0 02 05310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1480,00000</w:t>
            </w:r>
          </w:p>
        </w:tc>
      </w:tr>
      <w:tr>
        <w:trPr>
          <w:trHeight w:val="20" w:hRule="atLeast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ИТОГО РАСХОДОВ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438787,59248</w:t>
            </w:r>
          </w:p>
        </w:tc>
      </w:tr>
    </w:tbl>
    <w:p>
      <w:pPr>
        <w:pStyle w:val="Normal"/>
        <w:shd w:val="clear" w:color="auto" w:fill="FFFFFF" w:themeFill="background1"/>
        <w:jc w:val="both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>».</w:t>
      </w:r>
    </w:p>
    <w:p>
      <w:pPr>
        <w:pStyle w:val="Normal"/>
        <w:shd w:val="clear" w:color="auto" w:fill="FFFFFF" w:themeFill="background1"/>
        <w:jc w:val="both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</w:r>
    </w:p>
    <w:p>
      <w:pPr>
        <w:pStyle w:val="Style16"/>
        <w:shd w:val="clear" w:color="auto" w:fill="FFFFFF" w:themeFill="background1"/>
        <w:spacing w:lineRule="exact" w:line="240"/>
        <w:jc w:val="both"/>
        <w:rPr>
          <w:rFonts w:ascii="PT Astra Serif" w:hAnsi="PT Astra Serif"/>
          <w:b w:val="false"/>
          <w:b w:val="false"/>
          <w:sz w:val="16"/>
          <w:szCs w:val="16"/>
        </w:rPr>
      </w:pPr>
      <w:r>
        <w:rPr>
          <w:rFonts w:ascii="PT Astra Serif" w:hAnsi="PT Astra Serif"/>
          <w:b w:val="false"/>
          <w:sz w:val="16"/>
          <w:szCs w:val="16"/>
        </w:rPr>
        <w:t>5. Приложение 8 изложить в следующей редакции:</w:t>
      </w:r>
    </w:p>
    <w:p>
      <w:pPr>
        <w:pStyle w:val="Normal"/>
        <w:shd w:val="clear" w:color="auto" w:fill="FFFFFF" w:themeFill="background1"/>
        <w:jc w:val="both"/>
        <w:rPr>
          <w:rFonts w:ascii="PT Astra Serif" w:hAnsi="PT Astra Serif"/>
          <w:bCs/>
          <w:sz w:val="16"/>
          <w:szCs w:val="16"/>
        </w:rPr>
      </w:pPr>
      <w:r>
        <w:rPr>
          <w:rFonts w:ascii="PT Astra Serif" w:hAnsi="PT Astra Serif"/>
          <w:bCs/>
          <w:sz w:val="16"/>
          <w:szCs w:val="16"/>
        </w:rPr>
        <w:t>«</w:t>
      </w:r>
    </w:p>
    <w:tbl>
      <w:tblPr>
        <w:tblW w:w="9923" w:type="dxa"/>
        <w:jc w:val="left"/>
        <w:tblInd w:w="-34" w:type="dxa"/>
        <w:tblBorders/>
        <w:tblCellMar>
          <w:top w:w="0" w:type="dxa"/>
          <w:left w:w="113" w:type="dxa"/>
          <w:bottom w:w="0" w:type="dxa"/>
          <w:right w:w="108" w:type="dxa"/>
        </w:tblCellMar>
        <w:tblLook w:val="04a0"/>
      </w:tblPr>
      <w:tblGrid>
        <w:gridCol w:w="5244"/>
        <w:gridCol w:w="552"/>
        <w:gridCol w:w="424"/>
        <w:gridCol w:w="426"/>
        <w:gridCol w:w="1260"/>
        <w:gridCol w:w="760"/>
        <w:gridCol w:w="1256"/>
      </w:tblGrid>
      <w:tr>
        <w:trPr>
          <w:trHeight w:val="20" w:hRule="atLeast"/>
        </w:trPr>
        <w:tc>
          <w:tcPr>
            <w:tcW w:w="5244" w:type="dxa"/>
            <w:tcBorders/>
            <w:shd w:color="000000" w:fill="FFFFFF" w:val="clear"/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/>
            <w:shd w:color="000000" w:fill="FFFFFF" w:val="clear"/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4" w:type="dxa"/>
            <w:tcBorders/>
            <w:shd w:color="000000" w:fill="FFFFFF" w:val="clear"/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/>
            <w:shd w:color="000000" w:fill="FFFFFF" w:val="clear"/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3276" w:type="dxa"/>
            <w:gridSpan w:val="3"/>
            <w:tcBorders/>
            <w:shd w:color="000000" w:fill="FFFFFF" w:val="clear"/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Приложение 8</w:t>
            </w:r>
          </w:p>
        </w:tc>
      </w:tr>
      <w:tr>
        <w:trPr>
          <w:trHeight w:val="20" w:hRule="atLeast"/>
        </w:trPr>
        <w:tc>
          <w:tcPr>
            <w:tcW w:w="5244" w:type="dxa"/>
            <w:tcBorders/>
            <w:shd w:color="000000" w:fill="FFFFFF" w:val="clear"/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/>
            <w:shd w:color="000000" w:fill="FFFFFF" w:val="clear"/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4" w:type="dxa"/>
            <w:tcBorders/>
            <w:shd w:color="000000" w:fill="FFFFFF" w:val="clear"/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/>
            <w:shd w:color="000000" w:fill="FFFFFF" w:val="clear"/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3276" w:type="dxa"/>
            <w:gridSpan w:val="3"/>
            <w:tcBorders/>
            <w:shd w:color="000000" w:fill="FFFFFF" w:val="clear"/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к решению Совета депутатов муниципального образования "Тереньгульский район" "О бюджете муниципального образования "Тереньгульский район" на 2023 год и на плановый период 2024 и 2025 годов </w:t>
            </w:r>
          </w:p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</w:r>
          </w:p>
        </w:tc>
      </w:tr>
      <w:tr>
        <w:trPr>
          <w:trHeight w:val="20" w:hRule="atLeast"/>
        </w:trPr>
        <w:tc>
          <w:tcPr>
            <w:tcW w:w="9922" w:type="dxa"/>
            <w:gridSpan w:val="7"/>
            <w:tcBorders/>
            <w:shd w:color="000000" w:fill="FFFFFF" w:val="clear"/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Ведомственная структура</w:t>
            </w:r>
          </w:p>
        </w:tc>
      </w:tr>
      <w:tr>
        <w:trPr>
          <w:trHeight w:val="20" w:hRule="atLeast"/>
        </w:trPr>
        <w:tc>
          <w:tcPr>
            <w:tcW w:w="9922" w:type="dxa"/>
            <w:gridSpan w:val="7"/>
            <w:tcBorders/>
            <w:shd w:color="000000" w:fill="FFFFFF" w:val="clear"/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расходов бюджета муниципального образования "Тереньгульский район"</w:t>
            </w:r>
          </w:p>
        </w:tc>
      </w:tr>
      <w:tr>
        <w:trPr>
          <w:trHeight w:val="20" w:hRule="atLeast"/>
        </w:trPr>
        <w:tc>
          <w:tcPr>
            <w:tcW w:w="9922" w:type="dxa"/>
            <w:gridSpan w:val="7"/>
            <w:tcBorders/>
            <w:shd w:color="000000" w:fill="FFFFFF" w:val="clear"/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на 2023 год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bottom w:val="single" w:sz="4" w:space="0" w:color="00000A"/>
              <w:insideH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bottom w:val="single" w:sz="4" w:space="0" w:color="00000A"/>
              <w:insideH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bottom w:val="single" w:sz="4" w:space="0" w:color="00000A"/>
              <w:insideH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bottom w:val="single" w:sz="4" w:space="0" w:color="00000A"/>
              <w:insideH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bottom w:val="single" w:sz="4" w:space="0" w:color="00000A"/>
              <w:insideH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bottom w:val="single" w:sz="4" w:space="0" w:color="00000A"/>
              <w:insideH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bottom w:val="single" w:sz="4" w:space="0" w:color="00000A"/>
              <w:insideH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тыс.руб.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Наименования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Мин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РЗ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ЦС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ВР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Сумма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Муниципальное учреждение Администрация муниципального образования «Тереньгульский район»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83608,38495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28542,16400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794,40000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"Муниципальное управление"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bookmarkStart w:id="0" w:name="RANGE!E11"/>
            <w:bookmarkEnd w:id="0"/>
            <w:r>
              <w:rPr>
                <w:rFonts w:cs="Arial CYR" w:ascii="PT Astra Serif" w:hAnsi="PT Astra Serif"/>
                <w:sz w:val="16"/>
                <w:szCs w:val="16"/>
              </w:rPr>
              <w:t>43 0 00 00000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785,50000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"Обеспечение деятельности муниципального учреждения Совет депутатов муниципального образования "Тереньгульский район"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43 0 01 00000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785,50000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43 0 01 02040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785,50000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43 0 01 02040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393,90000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43 0 01 02040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221,10000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43 0 01 02040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23,60000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43 0 01 02040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146,90000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«Развитие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«Тереньгульский район»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5,90000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 «Создание условий для обеспечения права граждан на доступ к информации о деятельности органов местного самоуправления муниципального учреждения Совет депутатов муниципального образования «Тереньгульский район»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68 0 02 00000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5,90000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сфере информационных технологий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68 0 02 21900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5,90000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68 0 02 21900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5,90000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"Развитие муниципального управления в муниципальном образовании "Тереньгульский район"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«Формирование высококвалифицированного кадрового состава муниципальной службы, обеспечивающего эффективность муниципального управления»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15699,98400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"Муниципальное управление"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15699,98400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"Обеспечение деятельности муниципального учреждения Администрация муниципального образования "Тереньгульский район"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43 0 02 00000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14695,98400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43 0 02 02040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14695,98400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43 0 02 02040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10771,30000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43 0 02 02040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3253,00000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выплаты персоналу муниципальных органов , за исключением фонда оплаты труда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43 0 02 02040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122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30,20000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43 0 02 02040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150,70000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43 0 02 02040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490,78400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"Обеспечение деятельности Главы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43 0 03 00000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1004,00000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43 0 03 02080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1004,00000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43 0 03 02080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771,10000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43 0 03 02080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232,90000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2,60000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2,60000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Осуществление отдельных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50 0 00 51200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2,60000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50 0 00 51200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2,60000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Резервные фонды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Резервные фонды местных администраций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50 0 00 07050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Резервные средства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50 0 00 07050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11895,18000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1189,58000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организацией и обеспечением деятельности муниципальных комиссий по делам несовершеннолетних и защите их прав в Ульяновской области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50 0 00 71010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978,70000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50 0 00 71010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706,74000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50 0 00 71010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213,40000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50 0 00 71010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58,56000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расходного обязательства, связанного с определением перечня должностных лиц органов местного самоуправления, уполномоченных составлять протоколы об отдельных административных правонарушениях, предусмотренных Кодексом Ульяновской области об административных правонарушениях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50 0 00 71020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2,88000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50 0 00 71020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2,07400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50 0 00 71020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0,62600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50 0 00 71020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0,18000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Финансовое обеспечение расходных обязательств, связанных с проведением на территории Ульяновской области публичных мероприятий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50 0 00 71030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8,20000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50 0 00 71030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2,76600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50 0 00 71030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0,83400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50 0 00 71030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4,60000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Финансовое обеспечение расходных обязательств, связанных с хранением, комплектованием, учётом и использованием архивных документов,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50 0 00 71320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199,80000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50 0 00 71320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138,11100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50 0 00 71320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41,70900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50 0 00 71320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19,98000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Муниципальные программы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700,80000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"Развитие муниципального управления в муниципальном образовании  "Тереньгульский район"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145,80000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«Формирование высококвалифицированного кадрового состава муниципальной службы, обеспечивающего эффективность муниципального управления»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145,80000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65,80000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 «Комплексные меры по профилактике правонарушений, противодействию злоупотреблению алкоголем, наркотиками, курительными смесями и их незаконному обороту на территории муниципального образования  «Тереньгульский район»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73 0 00 00000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«Организационно-правовое обеспечение антинаркотической деятельности»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73 0 01 00000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73 0 01 00000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"Гражданское общество и государственная национальная политика на территории муниципального образования "Тереньгульский район"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292,80000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Подпрограмма «Содействие развитию институтов гражданского общества и поддержка социально ориентированных некоммерческих организаций и добровольческой (волонтёрской) деятельности в муниципальном образовании «Тереньгульский район»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69 1 00 00000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«Оказание мер для поддержки социально ориентированных некоммерческих организаций»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69 1 01 00000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69 1 01 00000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69 1 01 00000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632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Подпрограмма «Укрепление единства российской нации и этнокультурное развитие народов России на территории муниципального образования «Тереньгульский район»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69 2 00 00000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58,80000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«Укрепление гражданского единства многонационального народа, содействие сохранению и развитию этнокультурного многообразия народов России на территории муниципального образования «Тереньгульский район»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69 2 01 00000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58,80000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69 2 01 00000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58,80000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Подпрограмма "Увековечение памяти погибших при защите Отечества"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69 3 00 00000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202,00000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"Мероприятия в сфере обустройства мест захоронения останков погибших при защите Отечества, обнаруженных в ходе проведения поисковых работ, благоустройство мемориальных сооружений воинских захоронений по месту захоронения"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69 3 01 00000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202,00000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69 3 01 00000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202,00000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"Противодействие коррупции в муниципальном образовании "Тереньгульский район" Ульяновской области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66 0 00 00000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«Развитие организационных мер по предупреждению и профилактике коррупции в органах местного самоуправления муниципального образования «Тереньгульский район».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66 0 01 00000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66 0 01 00000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«Развитие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«Тереньгульский район»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241,20000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 «Создание условий для обеспечения права граждан на доступ к информации о деятельности органов местного самоуправления муниципального учреждения Администрация муниципального образования «Тереньгульский район»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68 0 01 00000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241,20000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сфере информационных технологий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68 0 01 21900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241,20000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68 0 01 21900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241,20000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Муниципальное учреждение "Техническое обслуживание"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10004,80000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"Материально-техническое обеспечение деятельности органов местного самоуправления муниципального образования "Тереньгульский район"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9167,30000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направление" Обеспечение деятельности учреждений по обеспечению хозяйственного обслуживания"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503 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9167,30000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Учреждения по обеспечению хозяйственного обслуживания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9167,30000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4550,00000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112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10,06000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1374,10000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1819,84000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1203,40000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19,30000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190,60000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Муниципальные программы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837,50000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Муниципальная программа «Энергосбережение и повышение энергетической эффективности на территории муниципального образования «Тереньгульский район»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71 0 00 00000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«Меры поддержки реализации энергосберегающих и энергоэффективных мероприятий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71 0 01 00000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Реализация организационных, технических и технологических  мероприятий по энергосбережению и повышению энергетической эффективности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71 0 01 21490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71 0 01 21490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«Развитие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«Тереньгульский район»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747,50000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 «Создание условий для обеспечения права граждан на доступ к информации о деятельности органов местного самоуправления муниципального учреждения "Техническое обслуживание" муниципального образования «Тереньгульский район»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68 0 03 00000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747,50000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сфере информационных технологий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68 0 03 21900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747,50000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68 0 03 21900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707,50000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68 0 03 21900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242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2427,16000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Органы юстиции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624,66000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624,66000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Осуществление переданных органам государственной власти субъектов  РФ в соответствии с пунктом 1 статьи 4 ФЗ от 15 ноября 1997 года №143-ФЗ  "Об актах гражданского состояния" полномочий РФ  на государственную регистрацию актов гражданского состояния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50 0 00 59300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624,66000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50 0 00 59300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443,00000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50 0 00 59300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133,80000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50 0 00 59300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242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50 0 00 59300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35,86000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Гражданская оборона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Муниципальная программа "Организация и осуществление мероприятий по гражданской обороне, защите населения и территорий муниципального образования "Тереньгульский район" от чрезвычайных ситуаций природного и техногенного характера"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64 0 00 00000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«Обеспечение необходимых  условий безопасности жизнедеятельности населения Тереньгульского района в условиях особого периода и в случаях возникновения чрезвычайных ситуаций природного и техногенного характера»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64 0 01 00000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64 0 01 21800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64 0 01 21800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1762,50000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"Материально-техническое обеспечение деятельности органов местного самоуправления муниципального образования "Тереньгульский район"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1662,70000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направление" Обеспечение деятельности учреждений по обеспечению хозяйственного обслуживания"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1662,70000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Учреждения по обеспечению хозяйственного обслуживания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44 0 01 09300 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1662,70000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1223,30000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369,40000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«Развитие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«Тереньгульский район»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99,80000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 «Создание условий для обеспечения права граждан на доступ к информации о деятельности органов местного самоуправления муниципального учреждения "Техническое обслуживание" муниципального образования «Тереньгульский район»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68 0 03 00000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99,80000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сфере информационных технологий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68 0 03 21900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99,80000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68 0 03 21900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242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62,00000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68 0 03 21900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37,80000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Национальная  экономика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41624,77895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37,70000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37,70000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отловом и содержанием животных без владельца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37,70000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37,70000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Транспорт                                                           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978,63715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"Поддержка и развитие пассажирского автомобильного транспорта общего пользования на территории муниципального образования "Тереньгульский район"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978,63715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«Создание условий для устойчивого и безопасного функционирования пассажирского автомобильного транспорта, направленного на удовлетворение потребности всех слоев населения в транспортных услугах»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45 0 01 00000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978,63715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 на организацию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45 0 01 72370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918,63715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45 0 01 72370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918,63715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 на софинансирование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 0 01 S2370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 0 01 S2370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40173,44180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29229,91334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Средства, предоставляемые в целях софинансирования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населенных объектов населенных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пользования.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50 0 00 70604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28470,38446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50 0 00 70604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28470,38446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Реализация мероприятий по восстановлению освещения дорожного полотна за счет безвозмездных поступлений (пожертвований)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50 0 00 73010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759,52888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50 0 00 73010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759,52888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«Безопасные и качественные дороги муниципального образования «Тереньгульский район» Ульяновской области»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10943,52846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Подпрограмма «Развитие системы дорожного хозяйства муниципального образования «Тереньгульский район»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75 1 00 00000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10943,52846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«Ремонт автомобильных дорог общего пользования местного значения, мостов и иных искусственных дорожных сооружений, находящихся в неудовлетворительном и аварийном состоянии»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75 1 02 00000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4508,61548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Содержание и управление дорожным хозяйством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75 1 02 03150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4508,61548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75 1 02 03150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4508,61548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«Содержание автомобильных дорог общего пользования местного значения на уровне, допустимом нормативами, для обеспечения их сохранности»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75 1 01 00000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6434,91298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Содержание и управление дорожным хозяйством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75 1 01 03150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6434,91298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75 1 01 03150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1728,08154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75 1 01 03150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4556,83144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75 1 01 03150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435,00000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«Развитие малого и среднего предпринимательства в муниципальном образовании  «Тереньгульский район» Ульяновской области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67 0 00 00000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«Оказание государственной поддержки субъектам малого и среднего предпринимательства Ульяновской области в целях развития предпринимательства»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67 0 01 00000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Предоставление средств субъектам малого и среднего предпринимательства на компенсацию части затрат, связанных с осуществлением деятельности, направленной на развитие малого и среднего предпринимательства муниципального образования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67 0 01 21480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67 0 01 21480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67 0 01 21480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633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"Защита прав потребителей в муниципальном образовании "Тереньгульский район" Ульяновской области"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46 0 00 00000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46 0 00 00000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3754,41600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Жилищное хозяйство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285,00000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285,00000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Капитальный ремонт муниципального жилья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50 0 00 03520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285,00000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50 0 00 03520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285,00000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2568,00000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2568,00000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Финансовое обеспечение расходных обязательств, связанных с погашением задолженности в рамках субсидиарной ответственности за МКП "Белогорское коммунальное хозяйство"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50 0 00 03550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2568,00000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50 0 00 03550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2568,00000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901,41600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320,87600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расходного обязательства, связанного с установлением нормативов потребления населением твёрдого топлива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50 0 00 71110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50 0 00 71110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4,60000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50 0 00 71110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1,40000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50 0 00 71110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50 0 00 05260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152,92800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50 0 00 05260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152,92800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по техническому обслуживанию  объектов газоснабжения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50 0 00 21440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158,94800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50 0 00 21440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158,94800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Муниципальная программа "Развитие жилищно-коммунального хозяйства в муниципальном образовании "Тереньгульский район" 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580,54000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Подпрограмма "Восстановление систем водоснабжения и водоотведения на территории муниципального образования "Тереньгульский район"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76 1 00 00000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293,00000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Основное мероприятие «Обеспечение водоснабжением населения муниципального образования «Тереньгульский район»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76 1 01 00000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293,00000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Финансовое обеспечение на ремонтные работы объектов водоснабжения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76 1 01 21410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293,00000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76 1 01 21410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293,00000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Подпрограмма "Экология и охрана окружающей среды на территории муниципального образования "Тереньгульский район"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76 5 00 00000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287,54000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"Создание санкционированных мест сбора ТКО в соответствии с действующим законодательством"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76 5 01 00000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57,54000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Средства, на реализацию расходных обязательств, связанных с оборудованием контейнерных площадок в населенных пунктах Ульяновской области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5 01 S0070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57,54000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5 01 S0070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57,54000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76 5 02 00000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230,00000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Средства на реализацию расходных обязательств, связанных с ликвидацией несанкционированных свалок на территории муниципального образования "Тереньгульский район"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76 5 02 21460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230,00000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76 5 02 21460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230,00000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Образование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36,00000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Молодежная политика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36,00000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"Молодёжь"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63 0 00 00000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36,00000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«Реализация механизмов развития молодёжной политики»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63 0 01 00000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36,00000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Проведение мероприятий для детей и молодёжи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63 0 01 41240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36,00000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63 0 01 41240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36,00000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Социальная политика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4715,31800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Пенсионное обеспечение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3190,38800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"Муниципальное управление"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3190,38800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Доплаты к пенсиям  муниципальных служащих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43 0 00 49100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3190,38800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43 0 00 49100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31,58800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43 0 00 49100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312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3158,80000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Социальное  обеспечение населения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1372,43000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"Муниципальное управление"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164,63000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области социальной политики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43 0 00 05140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164,63000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43 0 00 05140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1,63000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Пособия, компенсации, меры социальной поддержки населения по публичным нормативным обязательствам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43 0 00 05140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313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163,00000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программа"Комплексное развитие сельских территорий в муниципальном образовании "Тереньгульский район"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77 0 00 00000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1108,80000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«Повышение уровня комфортного проживания в сельской местности»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77 0 01 00000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1108,80000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 на обеспечение комплексного развития сельских территорий (улучшение жилищных условий граждан, проживающих на сельских территориях)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77 0 01 L5761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1108,80000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77 0 01 L5761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322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1108,80000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Муниципальная программа "Обеспечение жильем молодых семей" муниципального образования "Тереньгульский район"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79 0 00 00000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99,00000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Софинансирование средств на реализацию мероприятий по обеспечению жильем молодых семей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503 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79 0 00 L4970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99,00000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503 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79 0 00 L4970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322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99,00000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152,50000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Муниципальная программа "Забота"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152,50000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Подпрограмма «Повышение качества жизни граждан пожилого возраста и инвалидов, граждан оказавшихся в трудной жизненной ситуации в муниципальном  образовании  «Тереньгульский район»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61 1 00 00000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52,20000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«Предоставление мер социальной поддержки»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61 1 01 00000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52,20000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Оказание социальной поддержки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61 1 01 21310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52,20000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61 1 01 21310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61 1 01 21310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32,20000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Подпрограмма «Повышение качества жизни детей и семей с детьми в муниципальном образовании «Тереньгульский район»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61 2 00 00000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100,30000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«Предоставление мер социальной поддержки»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61 2 01 00000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100,30000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Оказание материальной помощи 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61 2 01 21320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100,30000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61 2 01 21320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61 2 01 21320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811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61 2 01 21320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60,30000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2434,14800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bottom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Массовый спорт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2274,35306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bottom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«Развитие физической культуры и спорта в муниципальном образовании  «Тереньгульский район»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65 0 00 00000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2274,35306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"Реализация регионального проекта "Спорт - норма жизни", направленного на достижение целей, показателей и результатов федерального проекта "Спорт - норма жизни"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bottom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65 0 Р5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2274,35306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bottom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Средства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bottom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65 0 Р5 52280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2274,35306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bottom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65 0 Р5 52280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2274,35306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159,79494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"Развитие физической культуры и спорта в муниципальном образовании  "Тереньгульский район"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65 0 00 00000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159,79494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 Развитие физкультуры и спорта в районе через систему физкультурно-оздоровительных и спортивно-массовых мероприятий с различными возрастными категориями и социальными группами граждан»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65 0 01 00000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159,79494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области физической культуры и спорта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65 0 01 05120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159,79494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65 0 01 05120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159,79494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Здравоохранение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74,40000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74,40000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"Здоровый муниципалитет" муниципального образования "Тереньгульский район"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74,40000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Подпрограмма «Кадровое обеспечение  отрасли здравоохранения муниципального образования «Тереньгульский район»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47 1 00 00000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45,40000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47 1 00 00000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5,40000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47 1 00 00000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Контрольно-счетная палата муниципального образования "Тереньгульский район" Ульяновской области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525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817,80000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525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817,80000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525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817,80000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525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817,80000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525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50 0 00 02040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817,80000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525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50 0 00 02040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584,90000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525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50 0 00 02040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176,60000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525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50 0 00 02040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56,30000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Муниципальное учреждение Отдел  по делам культуры и организации досуга населения муниципального образования "Тереньгульский район"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28404,30000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Образование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3060,54302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3060,54302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 "Культура муниципального образования  "Тереньгульский район"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3060,54302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Основное мероприятие "Обеспечение доступных качественных услуг в учреждениях культуры муниципального образования " Тереньгульский район"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70 0 01 00000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3060,54302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Учреждения по внешкольной работе с детьми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70 0 01 42300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3060,54302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70 0 01 42300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3021,54302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70 0 01 42300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39,00000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Культура, кинематография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25343,75698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Культура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14486,20000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"Гражданское общество и государственная национальная политика на территории муниципального образования "Тереньгульский район"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Подпрограмма «Укрепление единства российской нации и этнокультурное развитие народов России на территории муниципального образования «Тереньгульский район»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69 2 00 00000  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«Укрепление гражданского единства многонационального народа, содействие сохранению и развитию этнокультурного многообразия народов России на территории муниципального образования «Тереньгульский район»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69 2 01 00000  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69 2 01 00000  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 "Культура муниципального образования  "Тереньгульский район"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14396,20000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Основное мероприятие "Обеспечение доступных качественных услуг в учреждениях культуры муниципального образования " Тереньгульский район"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70 0 01 00000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14234,10000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сфере культуры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70 0 01 44000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8327,90000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70 0 01 44000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8264,90000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70 0 01 44000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63,00000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сфере библиотечного дела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70 0  01 44200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5906,20000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70 0  01 44200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5885,20000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70 0  01 44200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21,00000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Комплектование книжных фондов библиотек муниципального образования "Тереньгульский район"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L5191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162,10000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L5191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162,10000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"Развитие туризма на территории муниципального образования "Тереньгульский район"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78 0 00 00000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Мероприятие по эффективному использованию туристического потенциала района и имеющихся ресурсов, сохранение природного, культурно-исторического населения Тереньгульского района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558 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78 0 00 61010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78 0 00 61010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10857,55698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 "Культура муниципального образования  "Тереньгульский район"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10854,05698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70 0 00 02040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510,85698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70 0 00 02040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337,60000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70 0 00 02040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101,90000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70 0 00 02040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16,85698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70 0 00 02040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34,50000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70 0 00 02040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мероприятие" Обеспечение хозяйственного обслуживания учреждений культуры"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70 0 03 00000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10343,20000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Учреждения по обеспечению хозяйственного обслуживания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70 0 03 09300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10343,20000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70 0 03 09300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7217,50000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70 0 03 09300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2161,60000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70 0 03 09300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799,80000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70 0 03 09300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91,80000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70 0 03 09300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831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47,91250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70 0 03 09300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24,58750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Муниципальные программы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3,50000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"Развитие муниципального управления в муниципальном образовании  «Тереньгульский район»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3,50000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«Формирование высококвалифицированного кадрового состава муниципальной службы, обеспечивающего эффективность муниципального управления»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3,50000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3,50000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Муниципальное учреждение Отдел образования муниципального образования " Тереньгульский район"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276768,41649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Образование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258232,74149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Дошкольное образование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42377,59960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42377,59960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деятельность»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42377,59960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Повышение  доступности   качественного  образования для  всех  категорий  обучающихся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10202,79960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казенных учреждений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1864,86671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563,18975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873,90400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380,00000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6232,63914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198,20000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77,00000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72 0 02 71190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32174,80000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72 0 02 71190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6915,00000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72 0 02 71190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2083,80000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72 0 02 71190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112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72 0 02 71190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548,00000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72 0 02 71190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22615,00000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72 0 02 71190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Общее образование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197194,59755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197044,59755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72 0 00 70980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189,20000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72 0 00 70980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189,20000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S0980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9,96000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S0980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9,96000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осуществлением обучающимся 10-х (11-х) и 11-х (12-х) классов муниципальных общеобразовательных организаций ежемесячных денежных выплат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72 0 00 71170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57,40000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72 0 00 71170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0,30000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Иные выплаты населению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72 0 00 71170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360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72 0 00 71170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37,10000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L3040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6231,22450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L3040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2572,12245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L3040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3659,10205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деятельность»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190500,52440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Повышение  доступности   качественного  образования для  всех  категорий  обучающихся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54624,32440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казенных учреждений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11406,52137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3444,76945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112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12450,99784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5197,05000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166,30000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20416,48574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701,00000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831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191,50000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181,70000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408,00000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72 0 02 53030 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9374,40000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72 0 02 53030 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3600,00000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72 0 02 53030 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1087,20000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72 0 02 53030 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4687,20000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обеспечением дополнительного образования в муниципальных общеобразовательных организациях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72 0 02 71140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120397,50000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72 0 02 71140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42980,00000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72 0 02 71140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12955,80000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72 0 02 71140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112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72 0 02 71140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3386,80000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72 0 02 71140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60884,90000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72 0 02 71140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72 0 02 71150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261,60000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72 0 02 71150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131,30000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72 0 02 71150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130,30000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72 0 02 71200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787,80000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72 0 02 71200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397,80000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72 0 02 71200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390,00000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Финансовое обеспечение расходных обязательств, связанных с компенсацией родителям или иным законным представителям обучающихся затрат, связанных с обеспечением получения начального общего, основного общего или среднего общего образования в форме семейного образования на территории Ульяновской области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72 0 02 71330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91,60000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72 0 02 71330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91,60000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 на поддержку мер по обеспечению сбалансированности местных бюджетов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72 0 02 72110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4963,30000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72 0 02 72110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4963,30000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"Реализация регионального проекта "Успех каждого ребенка", направленного  на достижение целей, показателей и результатов федерального проекта "Успех каждого ребенка"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E2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56,28865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E2 50980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56,28865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E2 50980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56,28865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 «Комплексные меры по профилактике правонарушений, противодействию злоупотреблению алкоголем, наркотиками, курительными смесями и их незаконному обороту на территории муниципального образования  «Тереньгульский район»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73 0 00 00000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«Организационно-правовое обеспечение антинаркотической деятельности»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73 0 01 00000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73 0 01 00000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75,20000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73 0 01 00000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74,80000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7837,27705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7837,27705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деятельность»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7837,27705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Повышение  доступности   качественного  образования для  всех  категорий  обучающихся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7837,27705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 </w:t>
            </w:r>
            <w:r>
              <w:rPr>
                <w:rFonts w:cs="Arial CYR" w:ascii="PT Astra Serif" w:hAnsi="PT Astra Serif"/>
                <w:sz w:val="16"/>
                <w:szCs w:val="16"/>
              </w:rPr>
              <w:t>-Центр детского творчества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4844,94894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 </w:t>
            </w:r>
            <w:r>
              <w:rPr>
                <w:rFonts w:cs="Arial CYR" w:ascii="PT Astra Serif" w:hAnsi="PT Astra Serif"/>
                <w:sz w:val="16"/>
                <w:szCs w:val="16"/>
              </w:rPr>
              <w:t>-Детско-юношеская спортивная школа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2992,32811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7757,27705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 </w:t>
            </w:r>
            <w:r>
              <w:rPr>
                <w:rFonts w:cs="Arial CYR" w:ascii="PT Astra Serif" w:hAnsi="PT Astra Serif"/>
                <w:sz w:val="16"/>
                <w:szCs w:val="16"/>
              </w:rPr>
              <w:t>-Центр детского творчества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4804,94894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 </w:t>
            </w:r>
            <w:r>
              <w:rPr>
                <w:rFonts w:cs="Arial CYR" w:ascii="PT Astra Serif" w:hAnsi="PT Astra Serif"/>
                <w:sz w:val="16"/>
                <w:szCs w:val="16"/>
              </w:rPr>
              <w:t>-Детско-юношеская спортивная школа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2952,32811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 </w:t>
            </w:r>
            <w:r>
              <w:rPr>
                <w:rFonts w:cs="Arial CYR" w:ascii="PT Astra Serif" w:hAnsi="PT Astra Serif"/>
                <w:sz w:val="16"/>
                <w:szCs w:val="16"/>
              </w:rPr>
              <w:t>-Центр детского творчества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 </w:t>
            </w:r>
            <w:r>
              <w:rPr>
                <w:rFonts w:cs="Arial CYR" w:ascii="PT Astra Serif" w:hAnsi="PT Astra Serif"/>
                <w:sz w:val="16"/>
                <w:szCs w:val="16"/>
              </w:rPr>
              <w:t>-Детско-юношеская спортивная школа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Молодежная политика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1703,10000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1703,10000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на осуществление переданных органов местного самоуправления государственных полномочий Ульяновской области по организации и обеспечению оздоровления детей и обеспечения отдыха детей, обучающихся в общеобразовательных организациях, в том числе детей -сирот и детей, оставшихся без попечения родителей, детей, в трудной жизненной ситуации, и детей из многодетных семей,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пребыванием), детских лагерях труда и отдыха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72 0 00 71180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1703,10000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72 0 00 71180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860,06550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72 0 00 71180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843,03450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9120,16729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9120,16729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72 0 00 02040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1204,04584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Фонд оплаты труда муниципальных органов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72 0 00 02040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924,76639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72 0 00 02040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279,27945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деятельность»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6703,02145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Повышение  доступности   качественного  образования для  всех  категорий  обучающихся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6703,02145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- Хозяйственно-эксплуатационная контора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4586,50257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-Бухгалтерия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2116,51888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казенных учреждений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3808,91290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- Хозяйственно-эксплуатационная контора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2217,88457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-Бухгалтерия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1591,02833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1150,29555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- Хозяйственно-эксплуатационная контора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669,80500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-Бухгалтерия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480,49055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853,38300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- Хозяйственно-эксплуатационная контора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808,38300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-Бухгалтерия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825,43000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- Хозяйственно-эксплуатационная контора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825,43000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"Реализация регионального проекта "Патриотическое воспитание граждан Российской Федерации", направленного на достижение целей, показателей и результатов федерального проекта "Патриотическое воспитание граждан Российской Федерации"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EB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1213,10000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EB 51790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1213,10000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казенных учреждений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EB 51790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465,86022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EB 51790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140,68978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EB 51790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606,55000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Социальная политика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18535,67500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Социальное  обеспечение населения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364,27500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364,27500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Организация оздоровления работников бюджетной сферы на территории Ульяновской области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72 0 00 70950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6,30000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порядком (правилами) предоставления которых установлено требование о последующем подтверждении их использования в соответствии с условиями и (или)  целями предоставления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72 0 00 70950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812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6,30000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Софинансирование организации оздоровления работников бюджетной сферы на территории Ульяновской области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S0950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1,57500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S0950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812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1,57500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предоставлением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осуществляющих в качестве основного (уставного) вида деятельности образовательную деятельность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72 0 00 71230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356,40000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72 0 00 71230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1,70000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72 0 00 71230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354,70000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Охрана семьи и детства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16251,00000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12779,40000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50 0 00 71040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346,10000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50 0 00 71040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1,84000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50 0 00 71040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159,71000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50 0 00 71040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184,55000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осуществлению выплаты вознаграждения,  причитающегося приёмному родителю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50 0 00 71050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12433,30000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50 0 00 71050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50 0 00 71050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5732,80000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50 0 00 71050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323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6630,50000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3471,60000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выплатой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72 0 00 71220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3471,60000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72 0 00 71220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15,70000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72 0 00 71220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1616,60000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72 0 00 71220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1839,30000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1920,40000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1020,40000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опекой и попечительством в отношении несовершеннолетних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50 0 00 71060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1020,40000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муниципальных органов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50 0 00 71060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744,50000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50 0 00 71060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224,83900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50 0 00 71060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51,06100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900,00000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Средства на финансовое обеспечение расходных обязательств, связанных с приобретением автомобилей для организации и осуществления мероприятий по работе с семьями, имеющими детей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72 0 00 74310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900,00000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72 0 00 74310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900,00000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Финансовый отдел муниципального образования «Тереньгульский район»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45823,57839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5684,34500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5684,34500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"Управление муниципальными финансами муниципального образования "Тереньгульский район" Ульяновской области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5667,10000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"Обеспечение выполнения функций финансового отдела муниципального образования "Тереньгульский район"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41 0 01 00000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5667,10000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41 0 01 02040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5667,10000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41 0 01 02040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3638,30000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41 0 01 02040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1531,60000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41 0 01 02040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350,20000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41 0 01 02040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147,00000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3,24500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расчётом и предоставлением дотаций на выравнивание бюджетной обеспеченности бюджетам поселений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50 0 00 71310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3,24500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50 0 00 71310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2,26574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50 0 00 71310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0,68426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50 0 00 71310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0,29500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"Развитие муниципального управления в муниципальном образовании  «Тереньгульский район»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«Формирование высококвалифицированного кадрового состава муниципальной службы, обеспечивающего эффективность муниципального управления»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Национальная  экономика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21710,97839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Транспорт                                                           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181,36285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181,36285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 на организацию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50 0 00 72370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181,36285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50 0 00 72370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181,36285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21529,61554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Реализация государственных программ Ульяновской области  органами местного самоуправления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21529,61554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Средства, предоставляемые в целях софинансирования расходных обязательств, возникающих в связи с проектированием, строительством (реконструкцией), капитальным ремонтом, ремонтом и содержанием велосипедных дорожек и велосипедных парковок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50 0 00 70603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2000,00000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50 0 00 70603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2000,00000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Средства, предоставляемые в целях софинансирования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социальным объектам населенных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пользования.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50 0 00 70604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19529,61554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50 0 00 70604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19529,61554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18428,25500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14259,95500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"Управление муниципальными финансами муниципального образования "Тереньгульский район" Ульяновской области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14259,95500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"Совершенствование межбюджетных отношений муниципального образования "Тереньгульский район"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41 0 02 00000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14259,95500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Дотации на выравнивание бюджетной обеспеченности поселений муниципального образования "Тереньгульский район"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41 0 02 05130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14259,95500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41 0 02 05130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511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14259,95500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Прочие межбюджетные трансферты  общего характера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4168,30000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"Управление муниципальными финансами муниципального образования "Тереньгульский район" Ульяновской области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4168,30000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мероприятий "Совершенствование межбюджетных отношений МО "Тереньгульский район"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41 0 02 00000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4168,30000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межбюджетные трансферты бюджетам поселений на подготовку и проведение выборов в представительные органы поселений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41 0 02 05210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2688,30000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Иные межбюджетные трансферты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41 0 02 05210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2688,30000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межбюджетные трансферты на разработку ПСД по благоустройству территории с.Введенское - р.п.Тереньга "Связь веков" в целях участия во Всероссийском конкурсе лучших проектов создания КРСТ в малых городах и исторических поселках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41 0 02 05310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1480,00000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41 0 02 05310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1480,00000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Комитет по управлению муниципальным имуществом и земельным отношениям 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3365,11265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3365,11265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3365,11265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«Управление муниципальным имуществом и регулирование земельных отношений муниципального образования «Тереньгульский район» Ульяновской области»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3361,61265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"Обеспечение выполнения функций управления муниципальным имуществом  муниципального образования "Тереньгульский район"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42 0 01 00000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2630,90000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42 0 01 02040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2630,90000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42 0 01 02040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1381,20000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42 0 01 02040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842,10000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42 0 01 02040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225,80000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42 0 01 02040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157,80000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42 0 01 02040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831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2,98475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42 0 01 02040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21,01525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"Проведение оценки недвижимости, признание прав и регулирование отношений по государственной и муниципальной собственности"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42 0 02 00000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730,71265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01 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42 0 02 09020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730,71265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42 0 02 09020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730,71265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«Развитие муниципального управления в муниципальном образовании  «Тереньгульский район»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74 0 00 00000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3,50000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«Формирование высококвалифицированного кадрового состава муниципальной службы, обеспечивающего эффективность муниципального управления»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3,50000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3,50000</w:t>
            </w:r>
          </w:p>
        </w:tc>
      </w:tr>
      <w:tr>
        <w:trPr>
          <w:trHeight w:val="20" w:hRule="atLeast"/>
        </w:trPr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ИТОГО РАСХОДОВ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438787,59248</w:t>
            </w:r>
          </w:p>
        </w:tc>
      </w:tr>
    </w:tbl>
    <w:p>
      <w:pPr>
        <w:pStyle w:val="Normal"/>
        <w:shd w:val="clear" w:color="auto" w:fill="FFFFFF" w:themeFill="background1"/>
        <w:jc w:val="both"/>
        <w:rPr>
          <w:rFonts w:ascii="PT Astra Serif" w:hAnsi="PT Astra Serif"/>
          <w:bCs/>
          <w:sz w:val="16"/>
          <w:szCs w:val="16"/>
        </w:rPr>
      </w:pPr>
      <w:r>
        <w:rPr>
          <w:rFonts w:ascii="PT Astra Serif" w:hAnsi="PT Astra Serif"/>
          <w:bCs/>
          <w:sz w:val="16"/>
          <w:szCs w:val="16"/>
        </w:rPr>
        <w:t>».</w:t>
      </w:r>
    </w:p>
    <w:p>
      <w:pPr>
        <w:pStyle w:val="Normal"/>
        <w:shd w:val="clear" w:color="auto" w:fill="FFFFFF" w:themeFill="background1"/>
        <w:jc w:val="both"/>
        <w:rPr>
          <w:rFonts w:ascii="PT Astra Serif" w:hAnsi="PT Astra Serif"/>
          <w:bCs/>
          <w:sz w:val="16"/>
          <w:szCs w:val="16"/>
        </w:rPr>
      </w:pPr>
      <w:r>
        <w:rPr>
          <w:rFonts w:ascii="PT Astra Serif" w:hAnsi="PT Astra Serif"/>
          <w:bCs/>
          <w:sz w:val="16"/>
          <w:szCs w:val="16"/>
        </w:rPr>
      </w:r>
    </w:p>
    <w:p>
      <w:pPr>
        <w:pStyle w:val="Normal"/>
        <w:shd w:val="clear" w:color="auto" w:fill="FFFFFF" w:themeFill="background1"/>
        <w:jc w:val="both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bCs/>
          <w:sz w:val="16"/>
          <w:szCs w:val="16"/>
        </w:rPr>
        <w:t>6. В п</w:t>
      </w:r>
      <w:r>
        <w:rPr>
          <w:rFonts w:ascii="PT Astra Serif" w:hAnsi="PT Astra Serif"/>
          <w:sz w:val="16"/>
          <w:szCs w:val="16"/>
        </w:rPr>
        <w:t>риложении 10 таблицу 6 изложить в следующей редакции:</w:t>
      </w:r>
    </w:p>
    <w:p>
      <w:pPr>
        <w:pStyle w:val="Normal"/>
        <w:shd w:val="clear" w:color="auto" w:fill="FFFFFF" w:themeFill="background1"/>
        <w:jc w:val="right"/>
        <w:rPr>
          <w:sz w:val="16"/>
          <w:szCs w:val="16"/>
        </w:rPr>
      </w:pPr>
      <w:r>
        <w:rPr>
          <w:rFonts w:ascii="PT Astra Serif" w:hAnsi="PT Astra Serif"/>
          <w:bCs/>
          <w:sz w:val="16"/>
          <w:szCs w:val="16"/>
        </w:rPr>
        <w:t>«</w:t>
      </w:r>
      <w:r>
        <w:rPr>
          <w:sz w:val="16"/>
          <w:szCs w:val="16"/>
        </w:rPr>
        <w:t>Таблица 6</w:t>
      </w:r>
    </w:p>
    <w:p>
      <w:pPr>
        <w:pStyle w:val="Normal"/>
        <w:shd w:val="clear" w:color="auto" w:fill="FFFFFF" w:themeFill="background1"/>
        <w:jc w:val="center"/>
        <w:rPr>
          <w:b/>
          <w:b/>
          <w:sz w:val="16"/>
          <w:szCs w:val="16"/>
        </w:rPr>
      </w:pPr>
      <w:r>
        <w:rPr>
          <w:b/>
          <w:sz w:val="16"/>
          <w:szCs w:val="16"/>
        </w:rPr>
        <w:t>Субсидии на организацию регулярных перевозок пассажиров и багажа автомобильным транспортом по регулируемым тарифам по муниципальным маршрутам</w:t>
      </w:r>
    </w:p>
    <w:p>
      <w:pPr>
        <w:pStyle w:val="Normal"/>
        <w:shd w:val="clear" w:color="auto" w:fill="FFFFFF" w:themeFill="background1"/>
        <w:rPr>
          <w:sz w:val="16"/>
          <w:szCs w:val="16"/>
        </w:rPr>
      </w:pPr>
      <w:r>
        <w:rPr>
          <w:sz w:val="16"/>
          <w:szCs w:val="16"/>
        </w:rPr>
        <w:tab/>
        <w:tab/>
        <w:tab/>
        <w:tab/>
        <w:tab/>
        <w:tab/>
        <w:tab/>
        <w:tab/>
        <w:tab/>
        <w:tab/>
        <w:tab/>
        <w:t>тыс. руб.</w:t>
      </w:r>
    </w:p>
    <w:tbl>
      <w:tblPr>
        <w:tblW w:w="7847" w:type="dxa"/>
        <w:jc w:val="left"/>
        <w:tblInd w:w="118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663"/>
        <w:gridCol w:w="5864"/>
        <w:gridCol w:w="1320"/>
      </w:tblGrid>
      <w:tr>
        <w:trPr>
          <w:trHeight w:val="509" w:hRule="atLeast"/>
        </w:trPr>
        <w:tc>
          <w:tcPr>
            <w:tcW w:w="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</w:t>
            </w:r>
          </w:p>
          <w:p>
            <w:pPr>
              <w:pStyle w:val="Normal"/>
              <w:shd w:val="clear" w:color="auto" w:fill="FFFFFF" w:themeFill="background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п/п</w:t>
            </w:r>
          </w:p>
        </w:tc>
        <w:tc>
          <w:tcPr>
            <w:tcW w:w="5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Поселение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</w:tr>
      <w:tr>
        <w:trPr>
          <w:trHeight w:val="169" w:hRule="atLeast"/>
        </w:trPr>
        <w:tc>
          <w:tcPr>
            <w:tcW w:w="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Тереньгульское городское поселение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181,36285</w:t>
            </w:r>
          </w:p>
        </w:tc>
      </w:tr>
      <w:tr>
        <w:trPr>
          <w:trHeight w:val="101" w:hRule="atLeast"/>
        </w:trPr>
        <w:tc>
          <w:tcPr>
            <w:tcW w:w="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181,36285;</w:t>
            </w:r>
          </w:p>
        </w:tc>
      </w:tr>
    </w:tbl>
    <w:p>
      <w:pPr>
        <w:pStyle w:val="Normal"/>
        <w:shd w:val="clear" w:color="auto" w:fill="FFFFFF" w:themeFill="background1"/>
        <w:rPr>
          <w:rFonts w:ascii="PT Astra Serif" w:hAnsi="PT Astra Serif"/>
          <w:bCs/>
          <w:sz w:val="16"/>
          <w:szCs w:val="16"/>
        </w:rPr>
      </w:pPr>
      <w:r>
        <w:rPr>
          <w:rFonts w:ascii="PT Astra Serif" w:hAnsi="PT Astra Serif"/>
          <w:bCs/>
          <w:sz w:val="16"/>
          <w:szCs w:val="16"/>
        </w:rPr>
        <w:t>».</w:t>
      </w:r>
    </w:p>
    <w:p>
      <w:pPr>
        <w:pStyle w:val="Normal"/>
        <w:shd w:val="clear" w:color="auto" w:fill="FFFFFF" w:themeFill="background1"/>
        <w:jc w:val="both"/>
        <w:rPr>
          <w:rFonts w:ascii="PT Astra Serif" w:hAnsi="PT Astra Serif"/>
          <w:bCs/>
          <w:sz w:val="16"/>
          <w:szCs w:val="16"/>
        </w:rPr>
      </w:pPr>
      <w:r>
        <w:rPr>
          <w:rFonts w:ascii="PT Astra Serif" w:hAnsi="PT Astra Serif"/>
          <w:bCs/>
          <w:sz w:val="16"/>
          <w:szCs w:val="16"/>
        </w:rPr>
      </w:r>
    </w:p>
    <w:p>
      <w:pPr>
        <w:pStyle w:val="Normal"/>
        <w:shd w:val="clear" w:color="auto" w:fill="FFFFFF" w:themeFill="background1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>7. Приложение 12 к решению изложить в следующей редакции:</w:t>
      </w:r>
    </w:p>
    <w:p>
      <w:pPr>
        <w:pStyle w:val="Normal"/>
        <w:shd w:val="clear" w:color="auto" w:fill="FFFFFF" w:themeFill="background1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</w:r>
    </w:p>
    <w:p>
      <w:pPr>
        <w:pStyle w:val="Normal"/>
        <w:shd w:val="clear" w:color="auto" w:fill="FFFFFF" w:themeFill="background1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>«</w:t>
      </w:r>
    </w:p>
    <w:tbl>
      <w:tblPr>
        <w:tblW w:w="10080" w:type="dxa"/>
        <w:jc w:val="left"/>
        <w:tblInd w:w="93" w:type="dxa"/>
        <w:tblBorders/>
        <w:tblCellMar>
          <w:top w:w="0" w:type="dxa"/>
          <w:left w:w="113" w:type="dxa"/>
          <w:bottom w:w="0" w:type="dxa"/>
          <w:right w:w="108" w:type="dxa"/>
        </w:tblCellMar>
        <w:tblLook w:val="04a0"/>
      </w:tblPr>
      <w:tblGrid>
        <w:gridCol w:w="656"/>
        <w:gridCol w:w="5880"/>
        <w:gridCol w:w="1180"/>
        <w:gridCol w:w="1136"/>
        <w:gridCol w:w="1228"/>
      </w:tblGrid>
      <w:tr>
        <w:trPr>
          <w:trHeight w:val="20" w:hRule="atLeast"/>
        </w:trPr>
        <w:tc>
          <w:tcPr>
            <w:tcW w:w="656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cs="Arial CYR" w:ascii="Arial CYR" w:hAnsi="Arial CYR"/>
                <w:sz w:val="16"/>
                <w:szCs w:val="16"/>
              </w:rPr>
              <w:t> </w:t>
            </w:r>
          </w:p>
        </w:tc>
        <w:tc>
          <w:tcPr>
            <w:tcW w:w="5880" w:type="dxa"/>
            <w:tcBorders/>
            <w:shd w:color="auto" w:fill="FFFFFF" w:themeFill="background1" w:val="clear"/>
            <w:vAlign w:val="bottom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/>
            <w:shd w:color="auto" w:fill="FFFFFF" w:themeFill="background1" w:val="clear"/>
            <w:vAlign w:val="bottom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64" w:type="dxa"/>
            <w:gridSpan w:val="2"/>
            <w:tcBorders/>
            <w:shd w:color="auto" w:fill="FFFFFF" w:themeFill="background1" w:val="clear"/>
            <w:vAlign w:val="bottom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Приложение 12</w:t>
              <w:br/>
              <w:t>к решению Совета депутатов</w:t>
              <w:br/>
              <w:t xml:space="preserve">муниципального образования </w:t>
              <w:br/>
              <w:t>«Тереньгульский район»</w:t>
              <w:br/>
              <w:t xml:space="preserve">«О бюджете муниципального </w:t>
              <w:br/>
              <w:t xml:space="preserve">образования «Тереньгульский </w:t>
              <w:br/>
              <w:t xml:space="preserve">район» на 2023 год и на плановый </w:t>
              <w:br/>
              <w:t>период 2024 и 2025 годов»</w:t>
            </w:r>
          </w:p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</w:r>
          </w:p>
        </w:tc>
      </w:tr>
      <w:tr>
        <w:trPr>
          <w:trHeight w:val="20" w:hRule="atLeast"/>
        </w:trPr>
        <w:tc>
          <w:tcPr>
            <w:tcW w:w="10080" w:type="dxa"/>
            <w:gridSpan w:val="5"/>
            <w:tcBorders>
              <w:bottom w:val="single" w:sz="4" w:space="0" w:color="00000A"/>
              <w:insideH w:val="single" w:sz="4" w:space="0" w:color="00000A"/>
            </w:tcBorders>
            <w:shd w:color="auto" w:fill="FFFFFF" w:themeFill="background1" w:val="clear"/>
            <w:vAlign w:val="bottom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 xml:space="preserve">Распределение бюджетных ассигнований бюджета муниципального образования "Тереньгульский район" на финансовое обеспечение государственной поддержки семьи и детей, </w:t>
              <w:br/>
              <w:t xml:space="preserve">в том числе развития социальной инфраструктуры для детей, на 2023 год </w:t>
              <w:br/>
              <w:t>и на плановый период 2024 и 2025 годов</w:t>
            </w:r>
          </w:p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</w:r>
          </w:p>
        </w:tc>
      </w:tr>
      <w:tr>
        <w:trPr>
          <w:trHeight w:val="184" w:hRule="atLeast"/>
        </w:trPr>
        <w:tc>
          <w:tcPr>
            <w:tcW w:w="65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 xml:space="preserve">№ </w:t>
            </w: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58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 xml:space="preserve">Наименование главного </w:t>
              <w:br/>
              <w:t>распорядителя бюджетных средств/</w:t>
              <w:br/>
              <w:t>наименование мероприятия</w:t>
            </w:r>
          </w:p>
        </w:tc>
        <w:tc>
          <w:tcPr>
            <w:tcW w:w="11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12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2025 год</w:t>
            </w:r>
          </w:p>
        </w:tc>
      </w:tr>
      <w:tr>
        <w:trPr>
          <w:trHeight w:val="184" w:hRule="exact"/>
        </w:trPr>
        <w:tc>
          <w:tcPr>
            <w:tcW w:w="65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588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118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113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122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</w:r>
          </w:p>
        </w:tc>
      </w:tr>
      <w:tr>
        <w:trPr>
          <w:trHeight w:val="20" w:hRule="atLeast"/>
        </w:trPr>
        <w:tc>
          <w:tcPr>
            <w:tcW w:w="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 xml:space="preserve">Муниципальное учреждение Администрация муниципального образования «Тереньгульский район» </w:t>
            </w:r>
          </w:p>
        </w:tc>
        <w:tc>
          <w:tcPr>
            <w:tcW w:w="1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3648,14800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2920,80700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3037,32664</w:t>
            </w:r>
          </w:p>
        </w:tc>
      </w:tr>
      <w:tr>
        <w:trPr>
          <w:trHeight w:val="20" w:hRule="atLeast"/>
        </w:trPr>
        <w:tc>
          <w:tcPr>
            <w:tcW w:w="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 xml:space="preserve">Муниципальная программа "Молодежь" </w:t>
            </w:r>
          </w:p>
        </w:tc>
        <w:tc>
          <w:tcPr>
            <w:tcW w:w="1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36,00000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70,00000</w:t>
            </w:r>
          </w:p>
        </w:tc>
      </w:tr>
      <w:tr>
        <w:trPr>
          <w:trHeight w:val="20" w:hRule="atLeast"/>
        </w:trPr>
        <w:tc>
          <w:tcPr>
            <w:tcW w:w="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1.1.1.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Проведение мероприятий для детей и молодежи</w:t>
            </w:r>
          </w:p>
        </w:tc>
        <w:tc>
          <w:tcPr>
            <w:tcW w:w="1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36,00000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70,00000</w:t>
            </w:r>
          </w:p>
        </w:tc>
      </w:tr>
      <w:tr>
        <w:trPr>
          <w:trHeight w:val="20" w:hRule="atLeast"/>
        </w:trPr>
        <w:tc>
          <w:tcPr>
            <w:tcW w:w="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1.2.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"Обеспечение жильем молодых семей" муниципального образования "Тереньгульский район"</w:t>
            </w:r>
          </w:p>
        </w:tc>
        <w:tc>
          <w:tcPr>
            <w:tcW w:w="1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99,00000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1586,90700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1593,32664</w:t>
            </w:r>
          </w:p>
        </w:tc>
      </w:tr>
      <w:tr>
        <w:trPr>
          <w:trHeight w:val="20" w:hRule="atLeast"/>
        </w:trPr>
        <w:tc>
          <w:tcPr>
            <w:tcW w:w="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1.2.1.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Реализация  мероприятий  по обеспечению  жильём  молодых семей</w:t>
            </w:r>
          </w:p>
        </w:tc>
        <w:tc>
          <w:tcPr>
            <w:tcW w:w="1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99,00000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1586,90700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1593,32664</w:t>
            </w:r>
          </w:p>
        </w:tc>
      </w:tr>
      <w:tr>
        <w:trPr>
          <w:trHeight w:val="20" w:hRule="atLeast"/>
        </w:trPr>
        <w:tc>
          <w:tcPr>
            <w:tcW w:w="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1.3.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"Забота"</w:t>
            </w:r>
          </w:p>
        </w:tc>
        <w:tc>
          <w:tcPr>
            <w:tcW w:w="1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100,30000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105,20000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115,30000</w:t>
            </w:r>
          </w:p>
        </w:tc>
      </w:tr>
      <w:tr>
        <w:trPr>
          <w:trHeight w:val="20" w:hRule="atLeast"/>
        </w:trPr>
        <w:tc>
          <w:tcPr>
            <w:tcW w:w="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1.3.1.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Подпрограмма "Повышение качества жизни детей и семей с детьми в муниципальном образовании "Тереньгульский район"</w:t>
            </w:r>
          </w:p>
        </w:tc>
        <w:tc>
          <w:tcPr>
            <w:tcW w:w="1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100,30000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105,20000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115,30000</w:t>
            </w:r>
          </w:p>
        </w:tc>
      </w:tr>
      <w:tr>
        <w:trPr>
          <w:trHeight w:val="20" w:hRule="atLeast"/>
        </w:trPr>
        <w:tc>
          <w:tcPr>
            <w:tcW w:w="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1.4.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sz w:val="16"/>
                <w:szCs w:val="16"/>
              </w:rPr>
              <w:t xml:space="preserve">Муниципальная программа "Развитие физической культуры и спорта в муниципальном образовании "Тереньгульский район" </w:t>
            </w:r>
          </w:p>
        </w:tc>
        <w:tc>
          <w:tcPr>
            <w:tcW w:w="1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2434,14800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280,00000</w:t>
            </w:r>
          </w:p>
        </w:tc>
      </w:tr>
      <w:tr>
        <w:trPr>
          <w:trHeight w:val="20" w:hRule="atLeast"/>
        </w:trPr>
        <w:tc>
          <w:tcPr>
            <w:tcW w:w="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1.4.1.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Мероприятия в области физической культуры и спорта</w:t>
            </w:r>
          </w:p>
        </w:tc>
        <w:tc>
          <w:tcPr>
            <w:tcW w:w="1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2434,14800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280,00000</w:t>
            </w:r>
          </w:p>
        </w:tc>
      </w:tr>
      <w:tr>
        <w:trPr>
          <w:trHeight w:val="20" w:hRule="atLeast"/>
        </w:trPr>
        <w:tc>
          <w:tcPr>
            <w:tcW w:w="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1.5.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b/>
                <w:b/>
                <w:bCs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1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978,70000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978,70000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978,70000</w:t>
            </w:r>
          </w:p>
        </w:tc>
      </w:tr>
      <w:tr>
        <w:trPr>
          <w:trHeight w:val="20" w:hRule="atLeast"/>
        </w:trPr>
        <w:tc>
          <w:tcPr>
            <w:tcW w:w="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1.5.1.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организацией и обеспечением деятельности муниципальных комиссий по делам несовершеннолетних и защите их прав в Ульяновской области</w:t>
            </w:r>
          </w:p>
        </w:tc>
        <w:tc>
          <w:tcPr>
            <w:tcW w:w="1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978,70000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978,70000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978,70000</w:t>
            </w:r>
          </w:p>
        </w:tc>
      </w:tr>
      <w:tr>
        <w:trPr>
          <w:trHeight w:val="20" w:hRule="atLeast"/>
        </w:trPr>
        <w:tc>
          <w:tcPr>
            <w:tcW w:w="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Муниципальное учреждение Отдел по делам культуры и организации досуга населения муниципального образования «Тереньгульский район»</w:t>
            </w:r>
          </w:p>
        </w:tc>
        <w:tc>
          <w:tcPr>
            <w:tcW w:w="1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3060,54302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1905,90000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1934,90000</w:t>
            </w:r>
          </w:p>
        </w:tc>
      </w:tr>
      <w:tr>
        <w:trPr>
          <w:trHeight w:val="20" w:hRule="atLeast"/>
        </w:trPr>
        <w:tc>
          <w:tcPr>
            <w:tcW w:w="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2.1.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b/>
                <w:b/>
                <w:bCs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sz w:val="16"/>
                <w:szCs w:val="16"/>
              </w:rPr>
              <w:t>Муниципальная программа "Культура муниципального образования "Тереньгульский район"</w:t>
            </w:r>
          </w:p>
        </w:tc>
        <w:tc>
          <w:tcPr>
            <w:tcW w:w="1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3060,54302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1905,90000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1934,90000</w:t>
            </w:r>
          </w:p>
        </w:tc>
      </w:tr>
      <w:tr>
        <w:trPr>
          <w:trHeight w:val="20" w:hRule="atLeast"/>
        </w:trPr>
        <w:tc>
          <w:tcPr>
            <w:tcW w:w="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2.1.1.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Обеспечение деятельности учреждений по внешкольной работе с детьми</w:t>
            </w:r>
          </w:p>
        </w:tc>
        <w:tc>
          <w:tcPr>
            <w:tcW w:w="1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3060,54302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1905,90000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1934,90000</w:t>
            </w:r>
          </w:p>
        </w:tc>
      </w:tr>
      <w:tr>
        <w:trPr>
          <w:trHeight w:val="20" w:hRule="atLeast"/>
        </w:trPr>
        <w:tc>
          <w:tcPr>
            <w:tcW w:w="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Муниципальное учреждение Отдел образования муниципального образования «Тереньгульский район»</w:t>
            </w:r>
          </w:p>
        </w:tc>
        <w:tc>
          <w:tcPr>
            <w:tcW w:w="1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404181,98920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236023,33850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257910,47757</w:t>
            </w:r>
          </w:p>
        </w:tc>
      </w:tr>
      <w:tr>
        <w:trPr>
          <w:trHeight w:val="20" w:hRule="atLeast"/>
        </w:trPr>
        <w:tc>
          <w:tcPr>
            <w:tcW w:w="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3.1.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1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13799,80000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14322,90000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14893,90000</w:t>
            </w:r>
          </w:p>
        </w:tc>
      </w:tr>
      <w:tr>
        <w:trPr>
          <w:trHeight w:val="20" w:hRule="atLeast"/>
        </w:trPr>
        <w:tc>
          <w:tcPr>
            <w:tcW w:w="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3.1.1.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осуществлению выплаты вознаграждения, причитающегося приёмному родителю</w:t>
            </w:r>
          </w:p>
        </w:tc>
        <w:tc>
          <w:tcPr>
            <w:tcW w:w="1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12433,30000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12893,20000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13409,00000</w:t>
            </w:r>
          </w:p>
        </w:tc>
      </w:tr>
      <w:tr>
        <w:trPr>
          <w:trHeight w:val="20" w:hRule="atLeast"/>
        </w:trPr>
        <w:tc>
          <w:tcPr>
            <w:tcW w:w="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3.1.2.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1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346,10000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359,00000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373,40000</w:t>
            </w:r>
          </w:p>
        </w:tc>
      </w:tr>
      <w:tr>
        <w:trPr>
          <w:trHeight w:val="20" w:hRule="atLeast"/>
        </w:trPr>
        <w:tc>
          <w:tcPr>
            <w:tcW w:w="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3.1.3.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опекой и попечительством в отношении несовершеннолетних</w:t>
            </w:r>
          </w:p>
        </w:tc>
        <w:tc>
          <w:tcPr>
            <w:tcW w:w="1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1020,40000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1070,70000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1111,50000</w:t>
            </w:r>
          </w:p>
        </w:tc>
      </w:tr>
      <w:tr>
        <w:trPr>
          <w:trHeight w:val="20" w:hRule="atLeast"/>
        </w:trPr>
        <w:tc>
          <w:tcPr>
            <w:tcW w:w="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3.2.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1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390232,18920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221511,43850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242807,57757</w:t>
            </w:r>
          </w:p>
        </w:tc>
      </w:tr>
      <w:tr>
        <w:trPr>
          <w:trHeight w:val="20" w:hRule="atLeast"/>
        </w:trPr>
        <w:tc>
          <w:tcPr>
            <w:tcW w:w="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3.2.1.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Обеспечение деятельности детских дошкольных учреждений</w:t>
            </w:r>
          </w:p>
        </w:tc>
        <w:tc>
          <w:tcPr>
            <w:tcW w:w="1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10202,79960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8768,11400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10087,46910</w:t>
            </w:r>
          </w:p>
        </w:tc>
      </w:tr>
      <w:tr>
        <w:trPr>
          <w:trHeight w:val="20" w:hRule="atLeast"/>
        </w:trPr>
        <w:tc>
          <w:tcPr>
            <w:tcW w:w="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3.2.2.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Обеспечение деятельности школ</w:t>
            </w:r>
          </w:p>
        </w:tc>
        <w:tc>
          <w:tcPr>
            <w:tcW w:w="1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190500,52440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51963,23950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53448,23142</w:t>
            </w:r>
          </w:p>
        </w:tc>
      </w:tr>
      <w:tr>
        <w:trPr>
          <w:trHeight w:val="20" w:hRule="atLeast"/>
        </w:trPr>
        <w:tc>
          <w:tcPr>
            <w:tcW w:w="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3.2.3.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Обеспечение деятельности учреждений по внешкольной работе с детьми</w:t>
            </w:r>
          </w:p>
        </w:tc>
        <w:tc>
          <w:tcPr>
            <w:tcW w:w="1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7837,27705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5862,28500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7773,17705</w:t>
            </w:r>
          </w:p>
        </w:tc>
      </w:tr>
      <w:tr>
        <w:trPr>
          <w:trHeight w:val="20" w:hRule="atLeast"/>
        </w:trPr>
        <w:tc>
          <w:tcPr>
            <w:tcW w:w="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3.2.4.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ежемесячным денежным вознаграждением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9374,40000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9374,40000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9374,40000</w:t>
            </w:r>
          </w:p>
        </w:tc>
      </w:tr>
      <w:tr>
        <w:trPr>
          <w:trHeight w:val="20" w:hRule="atLeast"/>
        </w:trPr>
        <w:tc>
          <w:tcPr>
            <w:tcW w:w="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3.2.5.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учреждениях </w:t>
            </w:r>
          </w:p>
        </w:tc>
        <w:tc>
          <w:tcPr>
            <w:tcW w:w="1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6231,22450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6231,30000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6356,60000</w:t>
            </w:r>
          </w:p>
        </w:tc>
      </w:tr>
      <w:tr>
        <w:trPr>
          <w:trHeight w:val="20" w:hRule="atLeast"/>
        </w:trPr>
        <w:tc>
          <w:tcPr>
            <w:tcW w:w="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3.2.6.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Организации оздоровления работников бюджетной сферы на территории Ульяновской области</w:t>
            </w:r>
          </w:p>
        </w:tc>
        <w:tc>
          <w:tcPr>
            <w:tcW w:w="1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7,87500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25,20000</w:t>
            </w:r>
          </w:p>
        </w:tc>
      </w:tr>
      <w:tr>
        <w:trPr>
          <w:trHeight w:val="20" w:hRule="atLeast"/>
        </w:trPr>
        <w:tc>
          <w:tcPr>
            <w:tcW w:w="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3.2.7.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Финансовое обеспечение расходных обязательств, связанных с осуществлением обучающимся 10-х (11-х) и 11-х (12-х) классов муниципальных общеобразовательных организаций ежемесячных денежных выплат</w:t>
            </w:r>
          </w:p>
        </w:tc>
        <w:tc>
          <w:tcPr>
            <w:tcW w:w="1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57,40000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25,10000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28,00000</w:t>
            </w:r>
          </w:p>
        </w:tc>
      </w:tr>
      <w:tr>
        <w:trPr>
          <w:trHeight w:val="20" w:hRule="atLeast"/>
        </w:trPr>
        <w:tc>
          <w:tcPr>
            <w:tcW w:w="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3.2.8.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Средства на финансовое обеспечение расходных обязательств, связанных с приобретением автомобилей для организации и осуществления мероприятий по работе с семьями, имеющими детей</w:t>
            </w:r>
          </w:p>
        </w:tc>
        <w:tc>
          <w:tcPr>
            <w:tcW w:w="1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900,00000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0,00000</w:t>
            </w:r>
          </w:p>
        </w:tc>
      </w:tr>
      <w:tr>
        <w:trPr>
          <w:trHeight w:val="20" w:hRule="atLeast"/>
        </w:trPr>
        <w:tc>
          <w:tcPr>
            <w:tcW w:w="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3.2.9.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обеспечением дополнительного образования в муниципальных общеобразовательных организациях</w:t>
            </w:r>
          </w:p>
        </w:tc>
        <w:tc>
          <w:tcPr>
            <w:tcW w:w="1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120397,50000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110623,20000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122035,70000</w:t>
            </w:r>
          </w:p>
        </w:tc>
      </w:tr>
      <w:tr>
        <w:trPr>
          <w:trHeight w:val="20" w:hRule="atLeast"/>
        </w:trPr>
        <w:tc>
          <w:tcPr>
            <w:tcW w:w="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3.2.10.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Финансовое обеспечение расходных обязательств, связанных с выплатой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</w:r>
          </w:p>
        </w:tc>
        <w:tc>
          <w:tcPr>
            <w:tcW w:w="1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3471,60000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716,30000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729,00000</w:t>
            </w:r>
          </w:p>
        </w:tc>
      </w:tr>
      <w:tr>
        <w:trPr>
          <w:trHeight w:val="20" w:hRule="atLeast"/>
        </w:trPr>
        <w:tc>
          <w:tcPr>
            <w:tcW w:w="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3.2.11.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</w:t>
            </w:r>
          </w:p>
        </w:tc>
        <w:tc>
          <w:tcPr>
            <w:tcW w:w="1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787,80000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105,30000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114,50000</w:t>
            </w:r>
          </w:p>
        </w:tc>
      </w:tr>
      <w:tr>
        <w:trPr>
          <w:trHeight w:val="20" w:hRule="atLeast"/>
        </w:trPr>
        <w:tc>
          <w:tcPr>
            <w:tcW w:w="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3.2.12.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</w:t>
            </w:r>
          </w:p>
        </w:tc>
        <w:tc>
          <w:tcPr>
            <w:tcW w:w="1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261,60000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13,90000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14,50000</w:t>
            </w:r>
          </w:p>
        </w:tc>
      </w:tr>
      <w:tr>
        <w:trPr>
          <w:trHeight w:val="20" w:hRule="atLeast"/>
        </w:trPr>
        <w:tc>
          <w:tcPr>
            <w:tcW w:w="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3.2.13.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 на поддержку мер по обеспечению сбалансированности местных бюджетов</w:t>
            </w:r>
          </w:p>
        </w:tc>
        <w:tc>
          <w:tcPr>
            <w:tcW w:w="1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4963,30000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0,00000</w:t>
            </w:r>
          </w:p>
        </w:tc>
      </w:tr>
      <w:tr>
        <w:trPr>
          <w:trHeight w:val="20" w:hRule="atLeast"/>
        </w:trPr>
        <w:tc>
          <w:tcPr>
            <w:tcW w:w="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3.2.14.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Компенсация родителям или иным законным представителям обучающихся затрат, связанных с обеспечением получения начального общего, основного общего или среднего общего образования в форме семейного образования на территории Ульяновской области</w:t>
            </w:r>
          </w:p>
        </w:tc>
        <w:tc>
          <w:tcPr>
            <w:tcW w:w="1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91,60000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3,30000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3,30000</w:t>
            </w:r>
          </w:p>
        </w:tc>
      </w:tr>
      <w:tr>
        <w:trPr>
          <w:trHeight w:val="20" w:hRule="atLeast"/>
        </w:trPr>
        <w:tc>
          <w:tcPr>
            <w:tcW w:w="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3.2.15.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32174,80000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26582,20000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31574,80000</w:t>
            </w:r>
          </w:p>
        </w:tc>
      </w:tr>
      <w:tr>
        <w:trPr>
          <w:trHeight w:val="20" w:hRule="atLeast"/>
        </w:trPr>
        <w:tc>
          <w:tcPr>
            <w:tcW w:w="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3.2.16.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Финансовое обеспечение расходных обязательств, на осуществление переданных органам местного самоуправления государственных полномочий Ульяновской области по организации и обеспечению оздоровления детей и обеспечения отдыха детей, обучающихся в общеобразовательных организациях, в том числе детей-сирот и детей, оставшихся без попечения родителей, в трудной жизненной ситуации, и детей из многодетных семей,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пребыванием), детских лагерях труда и отдыха</w:t>
            </w:r>
          </w:p>
        </w:tc>
        <w:tc>
          <w:tcPr>
            <w:tcW w:w="1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1703,10000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47,20000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47,10000</w:t>
            </w:r>
          </w:p>
        </w:tc>
      </w:tr>
      <w:tr>
        <w:trPr>
          <w:trHeight w:val="20" w:hRule="atLeast"/>
        </w:trPr>
        <w:tc>
          <w:tcPr>
            <w:tcW w:w="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3.2.17.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56,28865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0,00000</w:t>
            </w:r>
          </w:p>
        </w:tc>
      </w:tr>
      <w:tr>
        <w:trPr>
          <w:trHeight w:val="20" w:hRule="atLeast"/>
        </w:trPr>
        <w:tc>
          <w:tcPr>
            <w:tcW w:w="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3.2.18.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1213,10000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1195,60000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1195,60000</w:t>
            </w:r>
          </w:p>
        </w:tc>
      </w:tr>
      <w:tr>
        <w:trPr>
          <w:trHeight w:val="20" w:hRule="atLeast"/>
        </w:trPr>
        <w:tc>
          <w:tcPr>
            <w:tcW w:w="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3.3.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"Комплексные меры по профилактике правонарушений на территории муниципального образования "Тереньгульский район"</w:t>
            </w:r>
          </w:p>
        </w:tc>
        <w:tc>
          <w:tcPr>
            <w:tcW w:w="1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189,00000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209,00000</w:t>
            </w:r>
          </w:p>
        </w:tc>
      </w:tr>
      <w:tr>
        <w:trPr>
          <w:trHeight w:val="20" w:hRule="atLeast"/>
        </w:trPr>
        <w:tc>
          <w:tcPr>
            <w:tcW w:w="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3.3.1.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Занятость учащихся</w:t>
            </w:r>
          </w:p>
        </w:tc>
        <w:tc>
          <w:tcPr>
            <w:tcW w:w="1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189,00000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209,00000</w:t>
            </w:r>
          </w:p>
        </w:tc>
      </w:tr>
      <w:tr>
        <w:trPr>
          <w:trHeight w:val="20" w:hRule="atLeast"/>
        </w:trPr>
        <w:tc>
          <w:tcPr>
            <w:tcW w:w="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410890,68022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 xml:space="preserve">240850,0455 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hd w:val="clear" w:color="auto" w:fill="FFFFFF" w:themeFill="background1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262882,70421</w:t>
            </w:r>
          </w:p>
        </w:tc>
      </w:tr>
    </w:tbl>
    <w:p>
      <w:pPr>
        <w:pStyle w:val="Normal"/>
        <w:shd w:val="clear" w:color="auto" w:fill="FFFFFF" w:themeFill="background1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>».</w:t>
      </w:r>
    </w:p>
    <w:p>
      <w:pPr>
        <w:pStyle w:val="Normal"/>
        <w:shd w:val="clear" w:color="auto" w:fill="FFFFFF" w:themeFill="background1"/>
        <w:jc w:val="both"/>
        <w:rPr>
          <w:rFonts w:ascii="PT Astra Serif" w:hAnsi="PT Astra Serif"/>
          <w:color w:val="000000"/>
          <w:sz w:val="16"/>
          <w:szCs w:val="16"/>
        </w:rPr>
      </w:pPr>
      <w:r>
        <w:rPr>
          <w:rFonts w:ascii="PT Astra Serif" w:hAnsi="PT Astra Serif"/>
          <w:color w:val="000000"/>
          <w:sz w:val="16"/>
          <w:szCs w:val="16"/>
        </w:rPr>
      </w:r>
    </w:p>
    <w:p>
      <w:pPr>
        <w:pStyle w:val="Normal"/>
        <w:shd w:val="clear" w:color="auto" w:fill="FFFFFF" w:themeFill="background1"/>
        <w:jc w:val="both"/>
        <w:rPr>
          <w:rFonts w:ascii="PT Astra Serif" w:hAnsi="PT Astra Serif"/>
          <w:color w:val="000000"/>
          <w:sz w:val="16"/>
          <w:szCs w:val="16"/>
        </w:rPr>
      </w:pPr>
      <w:r>
        <w:rPr>
          <w:rFonts w:ascii="PT Astra Serif" w:hAnsi="PT Astra Serif"/>
          <w:bCs/>
          <w:sz w:val="16"/>
          <w:szCs w:val="16"/>
        </w:rPr>
        <w:t xml:space="preserve">8. </w:t>
      </w:r>
      <w:r>
        <w:rPr>
          <w:rFonts w:ascii="PT Astra Serif" w:hAnsi="PT Astra Serif"/>
          <w:sz w:val="16"/>
          <w:szCs w:val="16"/>
        </w:rPr>
        <w:t>В  п. 10.1. раздела 10 решения слова «на 2023 год в общей сумме 42338,88008 тыс. рублей» заменить словами «на 2023 год в общей сумме 42020,24293 тыс. рублей»</w:t>
      </w:r>
      <w:r>
        <w:rPr>
          <w:rFonts w:ascii="PT Astra Serif" w:hAnsi="PT Astra Serif"/>
          <w:color w:val="000000"/>
          <w:sz w:val="16"/>
          <w:szCs w:val="16"/>
        </w:rPr>
        <w:t>.</w:t>
      </w:r>
    </w:p>
    <w:p>
      <w:pPr>
        <w:pStyle w:val="Normal"/>
        <w:shd w:val="clear" w:color="auto" w:fill="FFFFFF" w:themeFill="background1"/>
        <w:jc w:val="both"/>
        <w:rPr>
          <w:rFonts w:ascii="PT Astra Serif" w:hAnsi="PT Astra Serif"/>
          <w:color w:val="000000"/>
          <w:sz w:val="16"/>
          <w:szCs w:val="16"/>
        </w:rPr>
      </w:pPr>
      <w:r>
        <w:rPr>
          <w:rFonts w:ascii="PT Astra Serif" w:hAnsi="PT Astra Serif"/>
          <w:color w:val="000000"/>
          <w:sz w:val="16"/>
          <w:szCs w:val="16"/>
        </w:rPr>
      </w:r>
    </w:p>
    <w:p>
      <w:pPr>
        <w:pStyle w:val="Normal"/>
        <w:shd w:val="clear" w:color="auto" w:fill="FFFFFF" w:themeFill="background1"/>
        <w:jc w:val="both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color w:val="000000"/>
          <w:sz w:val="16"/>
          <w:szCs w:val="16"/>
        </w:rPr>
        <w:t>9. В п. 10.1.3. раздела 10 решения слова «на 2023 год в сумме 22029,61554</w:t>
      </w:r>
      <w:r>
        <w:rPr>
          <w:sz w:val="16"/>
          <w:szCs w:val="16"/>
        </w:rPr>
        <w:t xml:space="preserve"> тыс. рублей» заменить словами «</w:t>
      </w:r>
      <w:r>
        <w:rPr>
          <w:rFonts w:ascii="PT Astra Serif" w:hAnsi="PT Astra Serif"/>
          <w:color w:val="000000"/>
          <w:sz w:val="16"/>
          <w:szCs w:val="16"/>
        </w:rPr>
        <w:t>на 2023 год в сумме 21710,97839</w:t>
      </w:r>
      <w:r>
        <w:rPr>
          <w:sz w:val="16"/>
          <w:szCs w:val="16"/>
        </w:rPr>
        <w:t xml:space="preserve"> тыс. рублей</w:t>
      </w:r>
    </w:p>
    <w:p>
      <w:pPr>
        <w:pStyle w:val="Normal"/>
        <w:shd w:val="clear" w:color="auto" w:fill="FFFFFF" w:themeFill="background1"/>
        <w:jc w:val="both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</w:r>
    </w:p>
    <w:p>
      <w:pPr>
        <w:pStyle w:val="Normal"/>
        <w:shd w:val="clear" w:color="auto" w:fill="FFFFFF" w:themeFill="background1"/>
        <w:jc w:val="both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color w:val="000000"/>
          <w:sz w:val="16"/>
          <w:szCs w:val="16"/>
        </w:rPr>
        <w:t>10. Настоящее решение вступает в силу на следующий день после дня его опубликования в</w:t>
      </w:r>
      <w:r>
        <w:rPr>
          <w:rStyle w:val="FontStyle14"/>
          <w:rFonts w:ascii="PT Astra Serif" w:hAnsi="PT Astra Serif"/>
          <w:color w:val="000000"/>
          <w:sz w:val="16"/>
          <w:szCs w:val="16"/>
        </w:rPr>
        <w:t xml:space="preserve"> информационном бюллетене «Вестник района».</w:t>
      </w:r>
      <w:r>
        <w:rPr>
          <w:rFonts w:ascii="PT Astra Serif" w:hAnsi="PT Astra Serif"/>
          <w:sz w:val="16"/>
          <w:szCs w:val="16"/>
        </w:rPr>
        <w:tab/>
      </w:r>
    </w:p>
    <w:p>
      <w:pPr>
        <w:pStyle w:val="Normal"/>
        <w:shd w:val="clear" w:color="auto" w:fill="FFFFFF" w:themeFill="background1"/>
        <w:jc w:val="both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</w:r>
    </w:p>
    <w:p>
      <w:pPr>
        <w:pStyle w:val="Normal"/>
        <w:shd w:val="clear" w:color="auto" w:fill="FFFFFF" w:themeFill="background1"/>
        <w:rPr>
          <w:rFonts w:ascii="PT Astra Serif" w:hAnsi="PT Astra Serif"/>
          <w:color w:val="000000"/>
          <w:sz w:val="16"/>
          <w:szCs w:val="16"/>
        </w:rPr>
      </w:pPr>
      <w:r>
        <w:rPr>
          <w:rFonts w:ascii="PT Astra Serif" w:hAnsi="PT Astra Serif"/>
          <w:color w:val="000000"/>
          <w:sz w:val="16"/>
          <w:szCs w:val="16"/>
        </w:rPr>
      </w:r>
    </w:p>
    <w:p>
      <w:pPr>
        <w:pStyle w:val="Normal"/>
        <w:shd w:val="clear" w:color="auto" w:fill="FFFFFF" w:themeFill="background1"/>
        <w:rPr>
          <w:rFonts w:ascii="PT Astra Serif" w:hAnsi="PT Astra Serif"/>
          <w:color w:val="000000"/>
          <w:sz w:val="16"/>
          <w:szCs w:val="16"/>
        </w:rPr>
      </w:pPr>
      <w:r>
        <w:rPr>
          <w:rFonts w:ascii="PT Astra Serif" w:hAnsi="PT Astra Serif"/>
          <w:color w:val="000000"/>
          <w:sz w:val="16"/>
          <w:szCs w:val="16"/>
        </w:rPr>
        <w:t>Глава муниципального образования</w:t>
      </w:r>
    </w:p>
    <w:p>
      <w:pPr>
        <w:pStyle w:val="Normal"/>
        <w:pBdr/>
        <w:shd w:val="clear" w:color="auto" w:fill="FFFFFF" w:themeFill="background1"/>
        <w:rPr/>
      </w:pPr>
      <w:r>
        <w:rPr>
          <w:rFonts w:ascii="PT Astra Serif" w:hAnsi="PT Astra Serif"/>
          <w:sz w:val="16"/>
          <w:szCs w:val="16"/>
        </w:rPr>
        <w:t>«Тереньгульский район»</w:t>
        <w:tab/>
        <w:tab/>
        <w:tab/>
        <w:tab/>
        <w:tab/>
        <w:t xml:space="preserve">                                                                                                П.А.Иванов</w:t>
      </w:r>
    </w:p>
    <w:sectPr>
      <w:footerReference w:type="default" r:id="rId2"/>
      <w:type w:val="nextPage"/>
      <w:pgSz w:w="12240" w:h="15840"/>
      <w:pgMar w:left="1701" w:right="567" w:header="0" w:top="1134" w:footer="720" w:bottom="1134" w:gutter="0"/>
      <w:pgNumType w:fmt="decimal"/>
      <w:formProt w:val="false"/>
      <w:textDirection w:val="lrTb"/>
      <w:docGrid w:type="default" w:linePitch="272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Calibri">
    <w:charset w:val="cc"/>
    <w:family w:val="roman"/>
    <w:pitch w:val="variable"/>
  </w:font>
  <w:font w:name="Courier New">
    <w:charset w:val="cc"/>
    <w:family w:val="roman"/>
    <w:pitch w:val="variable"/>
  </w:font>
  <w:font w:name="PT Astra Serif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ahoma">
    <w:charset w:val="cc"/>
    <w:family w:val="roman"/>
    <w:pitch w:val="variable"/>
  </w:font>
  <w:font w:name="Arial CYR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ind w:right="360" w:hanging="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4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27635" cy="145415"/>
              <wp:effectExtent l="0" t="0" r="0" b="0"/>
              <wp:wrapSquare wrapText="largest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635" cy="14541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2"/>
                            <w:pBdr/>
                            <w:rPr/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instrText> PAGE </w:instrText>
                          </w:r>
                          <w:r>
                            <w:fldChar w:fldCharType="separate"/>
                          </w:r>
                          <w:r>
                            <w:t>39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10.05pt;height:11.45pt;mso-wrap-distance-left:0pt;mso-wrap-distance-right:0pt;mso-wrap-distance-top:0pt;mso-wrap-distance-bottom:0pt;margin-top:0.05pt;mso-position-vertical-relative:text;margin-left:488.55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Style22"/>
                      <w:pBdr/>
                      <w:rPr/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instrText> PAGE </w:instrText>
                    </w:r>
                    <w:r>
                      <w:fldChar w:fldCharType="separate"/>
                    </w:r>
                    <w:r>
                      <w:t>39</w:t>
                    </w:r>
                    <w: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16"/>
        <w:rFonts w:ascii="PT Astra Serif" w:hAnsi="PT Astra Serif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mirrorMargins/>
  <w:embedSystemFonts/>
  <w:defaultTabStop w:val="720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Cs w:val="22"/>
        <w:lang w:val="ru-RU" w:eastAsia="ru-RU" w:bidi="ar-SA"/>
      </w:rPr>
    </w:rPrDefault>
    <w:pPrDefault>
      <w:pPr/>
    </w:pPrDefault>
  </w:docDefaults>
  <w:latentStyles w:defLockedState="1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semiHidden="0" w:unhideWhenUsed="0" w:qFormat="1"/>
    <w:lsdException w:name="heading 8" w:uiPriority="0" w:semiHidden="0" w:unhideWhenUsed="0" w:qFormat="1"/>
    <w:lsdException w:name="heading 9" w:uiPriority="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locked="0" w:unhideWhenUsed="0"/>
    <w:lsdException w:name="No Spacing" w:locked="0" w:uiPriority="1" w:semiHidden="0" w:unhideWhenUsed="0" w:qFormat="1"/>
    <w:lsdException w:name="Light Shading" w:locked="0" w:uiPriority="60" w:semiHidden="0" w:unhideWhenUsed="0"/>
    <w:lsdException w:name="Light List" w:locked="0" w:uiPriority="61" w:semiHidden="0" w:unhideWhenUsed="0"/>
    <w:lsdException w:name="Light Grid" w:locked="0" w:uiPriority="62" w:semiHidden="0" w:unhideWhenUsed="0"/>
    <w:lsdException w:name="Medium Shading 1" w:locked="0" w:uiPriority="63" w:semiHidden="0" w:unhideWhenUsed="0"/>
    <w:lsdException w:name="Medium Shading 2" w:locked="0" w:uiPriority="64" w:semiHidden="0" w:unhideWhenUsed="0"/>
    <w:lsdException w:name="Medium List 1" w:locked="0" w:uiPriority="65" w:semiHidden="0" w:unhideWhenUsed="0"/>
    <w:lsdException w:name="Medium List 2" w:locked="0" w:uiPriority="66" w:semiHidden="0" w:unhideWhenUsed="0"/>
    <w:lsdException w:name="Medium Grid 1" w:locked="0" w:uiPriority="67" w:semiHidden="0" w:unhideWhenUsed="0"/>
    <w:lsdException w:name="Medium Grid 2" w:locked="0" w:uiPriority="68" w:semiHidden="0" w:unhideWhenUsed="0"/>
    <w:lsdException w:name="Medium Grid 3" w:locked="0" w:uiPriority="69" w:semiHidden="0" w:unhideWhenUsed="0"/>
    <w:lsdException w:name="Dark List" w:locked="0" w:uiPriority="70" w:semiHidden="0" w:unhideWhenUsed="0"/>
    <w:lsdException w:name="Colorful Shading" w:locked="0" w:uiPriority="71" w:semiHidden="0" w:unhideWhenUsed="0"/>
    <w:lsdException w:name="Colorful List" w:locked="0" w:uiPriority="72" w:semiHidden="0" w:unhideWhenUsed="0"/>
    <w:lsdException w:name="Colorful Grid" w:locked="0" w:uiPriority="73" w:semiHidden="0" w:unhideWhenUsed="0"/>
    <w:lsdException w:name="Light Shading Accent 1" w:locked="0" w:uiPriority="60" w:semiHidden="0" w:unhideWhenUsed="0"/>
    <w:lsdException w:name="Light List Accent 1" w:locked="0" w:uiPriority="61" w:semiHidden="0" w:unhideWhenUsed="0"/>
    <w:lsdException w:name="Light Grid Accent 1" w:locked="0" w:uiPriority="62" w:semiHidden="0" w:unhideWhenUsed="0"/>
    <w:lsdException w:name="Medium Shading 1 Accent 1" w:locked="0" w:uiPriority="63" w:semiHidden="0" w:unhideWhenUsed="0"/>
    <w:lsdException w:name="Medium Shading 2 Accent 1" w:locked="0" w:uiPriority="64" w:semiHidden="0" w:unhideWhenUsed="0"/>
    <w:lsdException w:name="Medium List 1 Accent 1" w:locked="0" w:uiPriority="65" w:semiHidden="0" w:unhideWhenUsed="0"/>
    <w:lsdException w:name="Revision" w:locked="0" w:unhideWhenUsed="0"/>
    <w:lsdException w:name="List Paragraph" w:locked="0" w:uiPriority="34" w:semiHidden="0" w:unhideWhenUsed="0" w:qFormat="1"/>
    <w:lsdException w:name="Quote" w:locked="0" w:uiPriority="29" w:semiHidden="0" w:unhideWhenUsed="0" w:qFormat="1"/>
    <w:lsdException w:name="Intense Quote" w:locked="0" w:uiPriority="30" w:semiHidden="0" w:unhideWhenUsed="0" w:qFormat="1"/>
    <w:lsdException w:name="Medium List 2 Accent 1" w:locked="0" w:uiPriority="66" w:semiHidden="0" w:unhideWhenUsed="0"/>
    <w:lsdException w:name="Medium Grid 1 Accent 1" w:locked="0" w:uiPriority="67" w:semiHidden="0" w:unhideWhenUsed="0"/>
    <w:lsdException w:name="Medium Grid 2 Accent 1" w:locked="0" w:uiPriority="68" w:semiHidden="0" w:unhideWhenUsed="0"/>
    <w:lsdException w:name="Medium Grid 3 Accent 1" w:locked="0" w:uiPriority="69" w:semiHidden="0" w:unhideWhenUsed="0"/>
    <w:lsdException w:name="Dark List Accent 1" w:locked="0" w:uiPriority="70" w:semiHidden="0" w:unhideWhenUsed="0"/>
    <w:lsdException w:name="Colorful Shading Accent 1" w:locked="0" w:uiPriority="71" w:semiHidden="0" w:unhideWhenUsed="0"/>
    <w:lsdException w:name="Colorful List Accent 1" w:locked="0" w:uiPriority="72" w:semiHidden="0" w:unhideWhenUsed="0"/>
    <w:lsdException w:name="Colorful Grid Accent 1" w:locked="0" w:uiPriority="73" w:semiHidden="0" w:unhideWhenUsed="0"/>
    <w:lsdException w:name="Light Shading Accent 2" w:locked="0" w:uiPriority="60" w:semiHidden="0" w:unhideWhenUsed="0"/>
    <w:lsdException w:name="Light List Accent 2" w:locked="0" w:uiPriority="61" w:semiHidden="0" w:unhideWhenUsed="0"/>
    <w:lsdException w:name="Light Grid Accent 2" w:locked="0" w:uiPriority="62" w:semiHidden="0" w:unhideWhenUsed="0"/>
    <w:lsdException w:name="Medium Shading 1 Accent 2" w:locked="0" w:uiPriority="63" w:semiHidden="0" w:unhideWhenUsed="0"/>
    <w:lsdException w:name="Medium Shading 2 Accent 2" w:locked="0" w:uiPriority="64" w:semiHidden="0" w:unhideWhenUsed="0"/>
    <w:lsdException w:name="Medium List 1 Accent 2" w:locked="0" w:uiPriority="65" w:semiHidden="0" w:unhideWhenUsed="0"/>
    <w:lsdException w:name="Medium List 2 Accent 2" w:locked="0" w:uiPriority="66" w:semiHidden="0" w:unhideWhenUsed="0"/>
    <w:lsdException w:name="Medium Grid 1 Accent 2" w:locked="0" w:uiPriority="67" w:semiHidden="0" w:unhideWhenUsed="0"/>
    <w:lsdException w:name="Medium Grid 2 Accent 2" w:locked="0" w:uiPriority="68" w:semiHidden="0" w:unhideWhenUsed="0"/>
    <w:lsdException w:name="Medium Grid 3 Accent 2" w:locked="0" w:uiPriority="69" w:semiHidden="0" w:unhideWhenUsed="0"/>
    <w:lsdException w:name="Dark List Accent 2" w:locked="0" w:uiPriority="70" w:semiHidden="0" w:unhideWhenUsed="0"/>
    <w:lsdException w:name="Colorful Shading Accent 2" w:locked="0" w:uiPriority="71" w:semiHidden="0" w:unhideWhenUsed="0"/>
    <w:lsdException w:name="Colorful List Accent 2" w:locked="0" w:uiPriority="72" w:semiHidden="0" w:unhideWhenUsed="0"/>
    <w:lsdException w:name="Colorful Grid Accent 2" w:locked="0" w:uiPriority="73" w:semiHidden="0" w:unhideWhenUsed="0"/>
    <w:lsdException w:name="Light Shading Accent 3" w:locked="0" w:uiPriority="60" w:semiHidden="0" w:unhideWhenUsed="0"/>
    <w:lsdException w:name="Light List Accent 3" w:locked="0" w:uiPriority="61" w:semiHidden="0" w:unhideWhenUsed="0"/>
    <w:lsdException w:name="Light Grid Accent 3" w:locked="0" w:uiPriority="62" w:semiHidden="0" w:unhideWhenUsed="0"/>
    <w:lsdException w:name="Medium Shading 1 Accent 3" w:locked="0" w:uiPriority="63" w:semiHidden="0" w:unhideWhenUsed="0"/>
    <w:lsdException w:name="Medium Shading 2 Accent 3" w:locked="0" w:uiPriority="64" w:semiHidden="0" w:unhideWhenUsed="0"/>
    <w:lsdException w:name="Medium List 1 Accent 3" w:locked="0" w:uiPriority="65" w:semiHidden="0" w:unhideWhenUsed="0"/>
    <w:lsdException w:name="Medium List 2 Accent 3" w:locked="0" w:uiPriority="66" w:semiHidden="0" w:unhideWhenUsed="0"/>
    <w:lsdException w:name="Medium Grid 1 Accent 3" w:locked="0" w:uiPriority="67" w:semiHidden="0" w:unhideWhenUsed="0"/>
    <w:lsdException w:name="Medium Grid 2 Accent 3" w:locked="0" w:uiPriority="68" w:semiHidden="0" w:unhideWhenUsed="0"/>
    <w:lsdException w:name="Medium Grid 3 Accent 3" w:locked="0" w:uiPriority="69" w:semiHidden="0" w:unhideWhenUsed="0"/>
    <w:lsdException w:name="Dark List Accent 3" w:locked="0" w:uiPriority="70" w:semiHidden="0" w:unhideWhenUsed="0"/>
    <w:lsdException w:name="Colorful Shading Accent 3" w:locked="0" w:uiPriority="71" w:semiHidden="0" w:unhideWhenUsed="0"/>
    <w:lsdException w:name="Colorful List Accent 3" w:locked="0" w:uiPriority="72" w:semiHidden="0" w:unhideWhenUsed="0"/>
    <w:lsdException w:name="Colorful Grid Accent 3" w:locked="0" w:uiPriority="73" w:semiHidden="0" w:unhideWhenUsed="0"/>
    <w:lsdException w:name="Light Shading Accent 4" w:locked="0" w:uiPriority="60" w:semiHidden="0" w:unhideWhenUsed="0"/>
    <w:lsdException w:name="Light List Accent 4" w:locked="0" w:uiPriority="61" w:semiHidden="0" w:unhideWhenUsed="0"/>
    <w:lsdException w:name="Light Grid Accent 4" w:locked="0" w:uiPriority="62" w:semiHidden="0" w:unhideWhenUsed="0"/>
    <w:lsdException w:name="Medium Shading 1 Accent 4" w:locked="0" w:uiPriority="63" w:semiHidden="0" w:unhideWhenUsed="0"/>
    <w:lsdException w:name="Medium Shading 2 Accent 4" w:locked="0" w:uiPriority="64" w:semiHidden="0" w:unhideWhenUsed="0"/>
    <w:lsdException w:name="Medium List 1 Accent 4" w:locked="0" w:uiPriority="65" w:semiHidden="0" w:unhideWhenUsed="0"/>
    <w:lsdException w:name="Medium List 2 Accent 4" w:locked="0" w:uiPriority="66" w:semiHidden="0" w:unhideWhenUsed="0"/>
    <w:lsdException w:name="Medium Grid 1 Accent 4" w:locked="0" w:uiPriority="67" w:semiHidden="0" w:unhideWhenUsed="0"/>
    <w:lsdException w:name="Medium Grid 2 Accent 4" w:locked="0" w:uiPriority="68" w:semiHidden="0" w:unhideWhenUsed="0"/>
    <w:lsdException w:name="Medium Grid 3 Accent 4" w:locked="0" w:uiPriority="69" w:semiHidden="0" w:unhideWhenUsed="0"/>
    <w:lsdException w:name="Dark List Accent 4" w:locked="0" w:uiPriority="70" w:semiHidden="0" w:unhideWhenUsed="0"/>
    <w:lsdException w:name="Colorful Shading Accent 4" w:locked="0" w:uiPriority="71" w:semiHidden="0" w:unhideWhenUsed="0"/>
    <w:lsdException w:name="Colorful List Accent 4" w:locked="0" w:uiPriority="72" w:semiHidden="0" w:unhideWhenUsed="0"/>
    <w:lsdException w:name="Colorful Grid Accent 4" w:locked="0" w:uiPriority="73" w:semiHidden="0" w:unhideWhenUsed="0"/>
    <w:lsdException w:name="Light Shading Accent 5" w:locked="0" w:uiPriority="60" w:semiHidden="0" w:unhideWhenUsed="0"/>
    <w:lsdException w:name="Light List Accent 5" w:locked="0" w:uiPriority="61" w:semiHidden="0" w:unhideWhenUsed="0"/>
    <w:lsdException w:name="Light Grid Accent 5" w:locked="0" w:uiPriority="62" w:semiHidden="0" w:unhideWhenUsed="0"/>
    <w:lsdException w:name="Medium Shading 1 Accent 5" w:locked="0" w:uiPriority="63" w:semiHidden="0" w:unhideWhenUsed="0"/>
    <w:lsdException w:name="Medium Shading 2 Accent 5" w:locked="0" w:uiPriority="64" w:semiHidden="0" w:unhideWhenUsed="0"/>
    <w:lsdException w:name="Medium List 1 Accent 5" w:locked="0" w:uiPriority="65" w:semiHidden="0" w:unhideWhenUsed="0"/>
    <w:lsdException w:name="Medium List 2 Accent 5" w:locked="0" w:uiPriority="66" w:semiHidden="0" w:unhideWhenUsed="0"/>
    <w:lsdException w:name="Medium Grid 1 Accent 5" w:locked="0" w:uiPriority="67" w:semiHidden="0" w:unhideWhenUsed="0"/>
    <w:lsdException w:name="Medium Grid 2 Accent 5" w:locked="0" w:uiPriority="68" w:semiHidden="0" w:unhideWhenUsed="0"/>
    <w:lsdException w:name="Medium Grid 3 Accent 5" w:locked="0" w:uiPriority="69" w:semiHidden="0" w:unhideWhenUsed="0"/>
    <w:lsdException w:name="Dark List Accent 5" w:locked="0" w:uiPriority="70" w:semiHidden="0" w:unhideWhenUsed="0"/>
    <w:lsdException w:name="Colorful Shading Accent 5" w:locked="0" w:uiPriority="71" w:semiHidden="0" w:unhideWhenUsed="0"/>
    <w:lsdException w:name="Colorful List Accent 5" w:locked="0" w:uiPriority="72" w:semiHidden="0" w:unhideWhenUsed="0"/>
    <w:lsdException w:name="Colorful Grid Accent 5" w:locked="0" w:uiPriority="73" w:semiHidden="0" w:unhideWhenUsed="0"/>
    <w:lsdException w:name="Light Shading Accent 6" w:locked="0" w:uiPriority="60" w:semiHidden="0" w:unhideWhenUsed="0"/>
    <w:lsdException w:name="Light List Accent 6" w:locked="0" w:uiPriority="61" w:semiHidden="0" w:unhideWhenUsed="0"/>
    <w:lsdException w:name="Light Grid Accent 6" w:locked="0" w:uiPriority="62" w:semiHidden="0" w:unhideWhenUsed="0"/>
    <w:lsdException w:name="Medium Shading 1 Accent 6" w:locked="0" w:uiPriority="63" w:semiHidden="0" w:unhideWhenUsed="0"/>
    <w:lsdException w:name="Medium Shading 2 Accent 6" w:locked="0" w:uiPriority="64" w:semiHidden="0" w:unhideWhenUsed="0"/>
    <w:lsdException w:name="Medium List 1 Accent 6" w:locked="0" w:uiPriority="65" w:semiHidden="0" w:unhideWhenUsed="0"/>
    <w:lsdException w:name="Medium List 2 Accent 6" w:locked="0" w:uiPriority="66" w:semiHidden="0" w:unhideWhenUsed="0"/>
    <w:lsdException w:name="Medium Grid 1 Accent 6" w:locked="0" w:uiPriority="67" w:semiHidden="0" w:unhideWhenUsed="0"/>
    <w:lsdException w:name="Medium Grid 2 Accent 6" w:locked="0" w:uiPriority="68" w:semiHidden="0" w:unhideWhenUsed="0"/>
    <w:lsdException w:name="Medium Grid 3 Accent 6" w:locked="0" w:uiPriority="69" w:semiHidden="0" w:unhideWhenUsed="0"/>
    <w:lsdException w:name="Dark List Accent 6" w:locked="0" w:uiPriority="70" w:semiHidden="0" w:unhideWhenUsed="0"/>
    <w:lsdException w:name="Colorful Shading Accent 6" w:locked="0" w:uiPriority="71" w:semiHidden="0" w:unhideWhenUsed="0"/>
    <w:lsdException w:name="Colorful List Accent 6" w:locked="0" w:uiPriority="72" w:semiHidden="0" w:unhideWhenUsed="0"/>
    <w:lsdException w:name="Colorful Grid Accent 6" w:locked="0" w:uiPriority="73" w:semiHidden="0" w:unhideWhenUsed="0"/>
    <w:lsdException w:name="Subtle Emphasis" w:locked="0" w:uiPriority="19" w:semiHidden="0" w:unhideWhenUsed="0" w:qFormat="1"/>
    <w:lsdException w:name="Intense Emphasis" w:locked="0" w:uiPriority="21" w:semiHidden="0" w:unhideWhenUsed="0" w:qFormat="1"/>
    <w:lsdException w:name="Subtle Reference" w:locked="0" w:uiPriority="31" w:semiHidden="0" w:unhideWhenUsed="0" w:qFormat="1"/>
    <w:lsdException w:name="Intense Reference" w:locked="0" w:uiPriority="32" w:semiHidden="0" w:unhideWhenUsed="0" w:qFormat="1"/>
    <w:lsdException w:name="Book Title" w:locked="0" w:uiPriority="33" w:semiHidden="0" w:unhideWhenUsed="0" w:qFormat="1"/>
    <w:lsdException w:name="Bibliography" w:locked="0" w:uiPriority="37"/>
    <w:lsdException w:name="TOC Heading" w:locked="0" w:uiPriority="39" w:qFormat="1"/>
  </w:latentStyles>
  <w:style w:type="paragraph" w:styleId="Normal" w:default="1">
    <w:name w:val="Normal"/>
    <w:qFormat/>
    <w:rsid w:val="00fc425e"/>
    <w:pPr>
      <w:widowControl/>
      <w:bidi w:val="0"/>
      <w:jc w:val="left"/>
    </w:pPr>
    <w:rPr>
      <w:rFonts w:ascii="Times New Roman" w:hAnsi="Times New Roman" w:eastAsia="Times New Roman" w:cs="Times New Roman"/>
      <w:color w:val="auto"/>
      <w:sz w:val="20"/>
      <w:szCs w:val="20"/>
      <w:lang w:val="ru-RU" w:eastAsia="ru-RU" w:bidi="ar-SA"/>
    </w:rPr>
  </w:style>
  <w:style w:type="paragraph" w:styleId="1">
    <w:name w:val="Heading 1"/>
    <w:basedOn w:val="Normal"/>
    <w:link w:val="10"/>
    <w:uiPriority w:val="99"/>
    <w:qFormat/>
    <w:rsid w:val="00fc425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Normal"/>
    <w:link w:val="20"/>
    <w:uiPriority w:val="99"/>
    <w:qFormat/>
    <w:rsid w:val="00fc425e"/>
    <w:pPr>
      <w:keepNext/>
      <w:jc w:val="center"/>
      <w:outlineLvl w:val="1"/>
    </w:pPr>
    <w:rPr>
      <w:rFonts w:ascii="Arial" w:hAnsi="Arial"/>
      <w:b/>
    </w:rPr>
  </w:style>
  <w:style w:type="paragraph" w:styleId="3">
    <w:name w:val="Heading 3"/>
    <w:basedOn w:val="Normal"/>
    <w:link w:val="30"/>
    <w:uiPriority w:val="99"/>
    <w:qFormat/>
    <w:rsid w:val="00fc425e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Normal"/>
    <w:link w:val="40"/>
    <w:uiPriority w:val="99"/>
    <w:qFormat/>
    <w:rsid w:val="00fc425e"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Normal"/>
    <w:link w:val="50"/>
    <w:uiPriority w:val="99"/>
    <w:qFormat/>
    <w:rsid w:val="00fc425e"/>
    <w:pPr>
      <w:spacing w:before="240" w:after="60"/>
      <w:outlineLvl w:val="4"/>
    </w:pPr>
    <w:rPr>
      <w:b/>
      <w:i/>
      <w:sz w:val="26"/>
    </w:rPr>
  </w:style>
  <w:style w:type="paragraph" w:styleId="6">
    <w:name w:val="Heading 6"/>
    <w:basedOn w:val="Normal"/>
    <w:link w:val="60"/>
    <w:uiPriority w:val="99"/>
    <w:qFormat/>
    <w:rsid w:val="00fc425e"/>
    <w:pPr>
      <w:spacing w:before="240" w:after="60"/>
      <w:outlineLvl w:val="5"/>
    </w:pPr>
    <w:rPr>
      <w:b/>
      <w:sz w:val="22"/>
    </w:rPr>
  </w:style>
  <w:style w:type="paragraph" w:styleId="7">
    <w:name w:val="Heading 7"/>
    <w:basedOn w:val="Normal"/>
    <w:link w:val="70"/>
    <w:uiPriority w:val="99"/>
    <w:qFormat/>
    <w:rsid w:val="00fc425e"/>
    <w:pPr>
      <w:keepNext/>
      <w:jc w:val="center"/>
      <w:outlineLvl w:val="6"/>
    </w:pPr>
    <w:rPr>
      <w:b/>
      <w:color w:val="000000"/>
      <w:sz w:val="24"/>
    </w:rPr>
  </w:style>
  <w:style w:type="paragraph" w:styleId="8">
    <w:name w:val="Heading 8"/>
    <w:basedOn w:val="Normal"/>
    <w:link w:val="80"/>
    <w:qFormat/>
    <w:rsid w:val="00fc425e"/>
    <w:pPr>
      <w:keepNext/>
      <w:jc w:val="center"/>
      <w:outlineLvl w:val="7"/>
    </w:pPr>
    <w:rPr>
      <w:b/>
      <w:sz w:val="24"/>
    </w:rPr>
  </w:style>
  <w:style w:type="paragraph" w:styleId="9">
    <w:name w:val="Heading 9"/>
    <w:basedOn w:val="Normal"/>
    <w:link w:val="90"/>
    <w:uiPriority w:val="99"/>
    <w:qFormat/>
    <w:rsid w:val="00fc425e"/>
    <w:pPr>
      <w:keepNext/>
      <w:jc w:val="center"/>
      <w:outlineLvl w:val="8"/>
    </w:pPr>
    <w:rPr>
      <w:b/>
      <w:bCs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9"/>
    <w:qFormat/>
    <w:locked/>
    <w:rsid w:val="007e4487"/>
    <w:rPr>
      <w:rFonts w:ascii="Cambria" w:hAnsi="Cambria" w:cs="Times New Roman"/>
      <w:b/>
      <w:bCs/>
      <w:sz w:val="32"/>
      <w:szCs w:val="32"/>
    </w:rPr>
  </w:style>
  <w:style w:type="character" w:styleId="21" w:customStyle="1">
    <w:name w:val="Заголовок 2 Знак"/>
    <w:basedOn w:val="DefaultParagraphFont"/>
    <w:link w:val="2"/>
    <w:uiPriority w:val="99"/>
    <w:semiHidden/>
    <w:qFormat/>
    <w:locked/>
    <w:rsid w:val="007e4487"/>
    <w:rPr>
      <w:rFonts w:ascii="Cambria" w:hAnsi="Cambria" w:cs="Times New Roman"/>
      <w:b/>
      <w:bCs/>
      <w:i/>
      <w:iCs/>
      <w:sz w:val="28"/>
      <w:szCs w:val="28"/>
    </w:rPr>
  </w:style>
  <w:style w:type="character" w:styleId="31" w:customStyle="1">
    <w:name w:val="Заголовок 3 Знак"/>
    <w:basedOn w:val="DefaultParagraphFont"/>
    <w:link w:val="3"/>
    <w:uiPriority w:val="99"/>
    <w:semiHidden/>
    <w:qFormat/>
    <w:locked/>
    <w:rsid w:val="007e4487"/>
    <w:rPr>
      <w:rFonts w:ascii="Cambria" w:hAnsi="Cambria" w:cs="Times New Roman"/>
      <w:b/>
      <w:bCs/>
      <w:sz w:val="26"/>
      <w:szCs w:val="26"/>
    </w:rPr>
  </w:style>
  <w:style w:type="character" w:styleId="41" w:customStyle="1">
    <w:name w:val="Заголовок 4 Знак"/>
    <w:basedOn w:val="DefaultParagraphFont"/>
    <w:link w:val="4"/>
    <w:uiPriority w:val="99"/>
    <w:semiHidden/>
    <w:qFormat/>
    <w:locked/>
    <w:rsid w:val="007e4487"/>
    <w:rPr>
      <w:rFonts w:ascii="Calibri" w:hAnsi="Calibri" w:cs="Times New Roman"/>
      <w:b/>
      <w:bCs/>
      <w:sz w:val="28"/>
      <w:szCs w:val="28"/>
    </w:rPr>
  </w:style>
  <w:style w:type="character" w:styleId="51" w:customStyle="1">
    <w:name w:val="Заголовок 5 Знак"/>
    <w:basedOn w:val="DefaultParagraphFont"/>
    <w:link w:val="5"/>
    <w:uiPriority w:val="99"/>
    <w:semiHidden/>
    <w:qFormat/>
    <w:locked/>
    <w:rsid w:val="007e4487"/>
    <w:rPr>
      <w:rFonts w:ascii="Calibri" w:hAnsi="Calibri" w:cs="Times New Roman"/>
      <w:b/>
      <w:bCs/>
      <w:i/>
      <w:iCs/>
      <w:sz w:val="26"/>
      <w:szCs w:val="26"/>
    </w:rPr>
  </w:style>
  <w:style w:type="character" w:styleId="61" w:customStyle="1">
    <w:name w:val="Заголовок 6 Знак"/>
    <w:basedOn w:val="DefaultParagraphFont"/>
    <w:link w:val="6"/>
    <w:uiPriority w:val="99"/>
    <w:semiHidden/>
    <w:qFormat/>
    <w:locked/>
    <w:rsid w:val="007e4487"/>
    <w:rPr>
      <w:rFonts w:ascii="Calibri" w:hAnsi="Calibri" w:cs="Times New Roman"/>
      <w:b/>
      <w:bCs/>
    </w:rPr>
  </w:style>
  <w:style w:type="character" w:styleId="71" w:customStyle="1">
    <w:name w:val="Заголовок 7 Знак"/>
    <w:basedOn w:val="DefaultParagraphFont"/>
    <w:link w:val="7"/>
    <w:uiPriority w:val="99"/>
    <w:semiHidden/>
    <w:qFormat/>
    <w:locked/>
    <w:rsid w:val="007e4487"/>
    <w:rPr>
      <w:rFonts w:ascii="Calibri" w:hAnsi="Calibri" w:cs="Times New Roman"/>
      <w:sz w:val="24"/>
      <w:szCs w:val="24"/>
    </w:rPr>
  </w:style>
  <w:style w:type="character" w:styleId="81" w:customStyle="1">
    <w:name w:val="Заголовок 8 Знак"/>
    <w:basedOn w:val="DefaultParagraphFont"/>
    <w:link w:val="8"/>
    <w:uiPriority w:val="99"/>
    <w:qFormat/>
    <w:locked/>
    <w:rsid w:val="007e4487"/>
    <w:rPr>
      <w:rFonts w:ascii="Calibri" w:hAnsi="Calibri" w:cs="Times New Roman"/>
      <w:i/>
      <w:iCs/>
      <w:sz w:val="24"/>
      <w:szCs w:val="24"/>
    </w:rPr>
  </w:style>
  <w:style w:type="character" w:styleId="91" w:customStyle="1">
    <w:name w:val="Заголовок 9 Знак"/>
    <w:basedOn w:val="DefaultParagraphFont"/>
    <w:link w:val="9"/>
    <w:uiPriority w:val="99"/>
    <w:semiHidden/>
    <w:qFormat/>
    <w:locked/>
    <w:rsid w:val="007e4487"/>
    <w:rPr>
      <w:rFonts w:ascii="Cambria" w:hAnsi="Cambria" w:cs="Times New Roman"/>
    </w:rPr>
  </w:style>
  <w:style w:type="character" w:styleId="Style5" w:customStyle="1">
    <w:name w:val="Название Знак"/>
    <w:basedOn w:val="DefaultParagraphFont"/>
    <w:link w:val="a3"/>
    <w:uiPriority w:val="99"/>
    <w:qFormat/>
    <w:locked/>
    <w:rsid w:val="007e4487"/>
    <w:rPr>
      <w:rFonts w:ascii="Cambria" w:hAnsi="Cambria" w:cs="Times New Roman"/>
      <w:b/>
      <w:bCs/>
      <w:sz w:val="32"/>
      <w:szCs w:val="32"/>
    </w:rPr>
  </w:style>
  <w:style w:type="character" w:styleId="Style6" w:customStyle="1">
    <w:name w:val="Основной текст Знак"/>
    <w:basedOn w:val="DefaultParagraphFont"/>
    <w:link w:val="a5"/>
    <w:qFormat/>
    <w:locked/>
    <w:rsid w:val="00726430"/>
    <w:rPr>
      <w:rFonts w:cs="Times New Roman"/>
      <w:b/>
      <w:color w:val="000000"/>
      <w:sz w:val="28"/>
      <w:lang w:val="ru-RU" w:eastAsia="ru-RU"/>
    </w:rPr>
  </w:style>
  <w:style w:type="character" w:styleId="Style7" w:customStyle="1">
    <w:name w:val="Основной текст с отступом Знак"/>
    <w:basedOn w:val="DefaultParagraphFont"/>
    <w:link w:val="a7"/>
    <w:uiPriority w:val="99"/>
    <w:qFormat/>
    <w:locked/>
    <w:rsid w:val="008734e2"/>
    <w:rPr>
      <w:rFonts w:ascii="Arial" w:hAnsi="Arial" w:cs="Times New Roman"/>
      <w:color w:val="000000"/>
      <w:sz w:val="22"/>
      <w:lang w:val="ru-RU" w:eastAsia="ru-RU"/>
    </w:rPr>
  </w:style>
  <w:style w:type="character" w:styleId="22" w:customStyle="1">
    <w:name w:val="Основной текст с отступом 2 Знак"/>
    <w:basedOn w:val="DefaultParagraphFont"/>
    <w:link w:val="21"/>
    <w:uiPriority w:val="99"/>
    <w:semiHidden/>
    <w:qFormat/>
    <w:locked/>
    <w:rsid w:val="007e4487"/>
    <w:rPr>
      <w:rFonts w:cs="Times New Roman"/>
      <w:sz w:val="20"/>
      <w:szCs w:val="20"/>
    </w:rPr>
  </w:style>
  <w:style w:type="character" w:styleId="23" w:customStyle="1">
    <w:name w:val="Основной текст 2 Знак"/>
    <w:basedOn w:val="DefaultParagraphFont"/>
    <w:link w:val="23"/>
    <w:uiPriority w:val="99"/>
    <w:semiHidden/>
    <w:qFormat/>
    <w:locked/>
    <w:rsid w:val="007e4487"/>
    <w:rPr>
      <w:rFonts w:cs="Times New Roman"/>
      <w:sz w:val="20"/>
      <w:szCs w:val="20"/>
    </w:rPr>
  </w:style>
  <w:style w:type="character" w:styleId="Style8" w:customStyle="1">
    <w:name w:val="Нижний колонтитул Знак"/>
    <w:basedOn w:val="DefaultParagraphFont"/>
    <w:link w:val="a9"/>
    <w:uiPriority w:val="99"/>
    <w:semiHidden/>
    <w:qFormat/>
    <w:locked/>
    <w:rsid w:val="007e4487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qFormat/>
    <w:rsid w:val="00fc425e"/>
    <w:rPr>
      <w:rFonts w:cs="Times New Roman"/>
    </w:rPr>
  </w:style>
  <w:style w:type="character" w:styleId="Style9" w:customStyle="1">
    <w:name w:val="Верхний колонтитул Знак"/>
    <w:basedOn w:val="DefaultParagraphFont"/>
    <w:link w:val="ac"/>
    <w:uiPriority w:val="99"/>
    <w:semiHidden/>
    <w:qFormat/>
    <w:locked/>
    <w:rsid w:val="007e4487"/>
    <w:rPr>
      <w:rFonts w:cs="Times New Roman"/>
      <w:sz w:val="20"/>
      <w:szCs w:val="20"/>
    </w:rPr>
  </w:style>
  <w:style w:type="character" w:styleId="32" w:customStyle="1">
    <w:name w:val="Основной текст 3 Знак"/>
    <w:basedOn w:val="DefaultParagraphFont"/>
    <w:link w:val="31"/>
    <w:uiPriority w:val="99"/>
    <w:semiHidden/>
    <w:qFormat/>
    <w:locked/>
    <w:rsid w:val="007e4487"/>
    <w:rPr>
      <w:rFonts w:cs="Times New Roman"/>
      <w:sz w:val="16"/>
      <w:szCs w:val="16"/>
    </w:rPr>
  </w:style>
  <w:style w:type="character" w:styleId="Style10" w:customStyle="1">
    <w:name w:val="Текст Знак"/>
    <w:basedOn w:val="DefaultParagraphFont"/>
    <w:link w:val="af"/>
    <w:uiPriority w:val="99"/>
    <w:semiHidden/>
    <w:qFormat/>
    <w:locked/>
    <w:rsid w:val="007e4487"/>
    <w:rPr>
      <w:rFonts w:ascii="Courier New" w:hAnsi="Courier New" w:cs="Courier New"/>
      <w:sz w:val="20"/>
      <w:szCs w:val="20"/>
    </w:rPr>
  </w:style>
  <w:style w:type="character" w:styleId="Style11" w:customStyle="1">
    <w:name w:val="Текст сноски Знак"/>
    <w:basedOn w:val="DefaultParagraphFont"/>
    <w:link w:val="af1"/>
    <w:uiPriority w:val="99"/>
    <w:semiHidden/>
    <w:qFormat/>
    <w:locked/>
    <w:rsid w:val="007e4487"/>
    <w:rPr>
      <w:rFonts w:cs="Times New Roman"/>
      <w:sz w:val="20"/>
      <w:szCs w:val="20"/>
    </w:rPr>
  </w:style>
  <w:style w:type="character" w:styleId="Style12" w:customStyle="1">
    <w:name w:val="Текст выноски Знак"/>
    <w:basedOn w:val="DefaultParagraphFont"/>
    <w:link w:val="af4"/>
    <w:uiPriority w:val="99"/>
    <w:semiHidden/>
    <w:qFormat/>
    <w:locked/>
    <w:rsid w:val="007e4487"/>
    <w:rPr>
      <w:rFonts w:cs="Times New Roman"/>
      <w:sz w:val="2"/>
    </w:rPr>
  </w:style>
  <w:style w:type="character" w:styleId="FontStyle14" w:customStyle="1">
    <w:name w:val="Font Style14"/>
    <w:uiPriority w:val="99"/>
    <w:qFormat/>
    <w:rsid w:val="009d7c76"/>
    <w:rPr>
      <w:rFonts w:ascii="Arial" w:hAnsi="Arial"/>
      <w:sz w:val="24"/>
    </w:rPr>
  </w:style>
  <w:style w:type="character" w:styleId="Style13">
    <w:name w:val="Интернет-ссылка"/>
    <w:basedOn w:val="DefaultParagraphFont"/>
    <w:uiPriority w:val="99"/>
    <w:rsid w:val="009a6b70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qFormat/>
    <w:rsid w:val="009a6b70"/>
    <w:rPr>
      <w:rFonts w:cs="Times New Roman"/>
      <w:color w:val="800080"/>
      <w:u w:val="single"/>
    </w:rPr>
  </w:style>
  <w:style w:type="character" w:styleId="12" w:customStyle="1">
    <w:name w:val="Знак Знак1"/>
    <w:uiPriority w:val="99"/>
    <w:qFormat/>
    <w:rsid w:val="00d35394"/>
    <w:rPr>
      <w:lang w:val="ru-RU" w:eastAsia="ru-RU"/>
    </w:rPr>
  </w:style>
  <w:style w:type="character" w:styleId="Style14" w:customStyle="1">
    <w:name w:val="Знак Знак"/>
    <w:uiPriority w:val="99"/>
    <w:qFormat/>
    <w:rsid w:val="00d35394"/>
    <w:rPr>
      <w:rFonts w:ascii="Arial" w:hAnsi="Arial"/>
      <w:color w:val="000000"/>
      <w:sz w:val="22"/>
      <w:lang w:val="ru-RU" w:eastAsia="ru-RU"/>
    </w:rPr>
  </w:style>
  <w:style w:type="character" w:styleId="111" w:customStyle="1">
    <w:name w:val="Знак Знак11"/>
    <w:uiPriority w:val="99"/>
    <w:qFormat/>
    <w:rsid w:val="00966676"/>
    <w:rPr>
      <w:lang w:val="ru-RU" w:eastAsia="ru-RU"/>
    </w:rPr>
  </w:style>
  <w:style w:type="character" w:styleId="24" w:customStyle="1">
    <w:name w:val="Знак Знак2"/>
    <w:uiPriority w:val="99"/>
    <w:qFormat/>
    <w:rsid w:val="00966676"/>
    <w:rPr>
      <w:rFonts w:ascii="Arial" w:hAnsi="Arial"/>
      <w:color w:val="000000"/>
      <w:sz w:val="22"/>
      <w:lang w:val="ru-RU" w:eastAsia="ru-RU"/>
    </w:rPr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8">
    <w:name w:val="ListLabel 28"/>
    <w:qFormat/>
    <w:rPr>
      <w:rFonts w:cs="Times New Roman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7">
    <w:name w:val="ListLabel 37"/>
    <w:qFormat/>
    <w:rPr>
      <w:rFonts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cs="Times New Roman"/>
    </w:rPr>
  </w:style>
  <w:style w:type="character" w:styleId="ListLabel46">
    <w:name w:val="ListLabel 46"/>
    <w:qFormat/>
    <w:rPr>
      <w:rFonts w:cs="Times New Roman"/>
    </w:rPr>
  </w:style>
  <w:style w:type="character" w:styleId="ListLabel47">
    <w:name w:val="ListLabel 47"/>
    <w:qFormat/>
    <w:rPr>
      <w:rFonts w:cs="Times New Roman"/>
    </w:rPr>
  </w:style>
  <w:style w:type="character" w:styleId="ListLabel48">
    <w:name w:val="ListLabel 48"/>
    <w:qFormat/>
    <w:rPr>
      <w:rFonts w:cs="Times New Roman"/>
    </w:rPr>
  </w:style>
  <w:style w:type="character" w:styleId="ListLabel49">
    <w:name w:val="ListLabel 49"/>
    <w:qFormat/>
    <w:rPr>
      <w:rFonts w:cs="Times New Roman"/>
    </w:rPr>
  </w:style>
  <w:style w:type="character" w:styleId="ListLabel50">
    <w:name w:val="ListLabel 50"/>
    <w:qFormat/>
    <w:rPr>
      <w:rFonts w:eastAsia="Times New Roman"/>
    </w:rPr>
  </w:style>
  <w:style w:type="character" w:styleId="ListLabel51">
    <w:name w:val="ListLabel 51"/>
    <w:qFormat/>
    <w:rPr>
      <w:rFonts w:eastAsia="Times New Roman"/>
    </w:rPr>
  </w:style>
  <w:style w:type="character" w:styleId="ListLabel52">
    <w:name w:val="ListLabel 52"/>
    <w:qFormat/>
    <w:rPr>
      <w:rFonts w:eastAsia="Times New Roman"/>
    </w:rPr>
  </w:style>
  <w:style w:type="character" w:styleId="ListLabel53">
    <w:name w:val="ListLabel 53"/>
    <w:qFormat/>
    <w:rPr>
      <w:rFonts w:cs="Times New Roman"/>
      <w:color w:val="CCFFFF"/>
    </w:rPr>
  </w:style>
  <w:style w:type="character" w:styleId="ListLabel54">
    <w:name w:val="ListLabel 54"/>
    <w:qFormat/>
    <w:rPr>
      <w:rFonts w:cs="Times New Roman"/>
    </w:rPr>
  </w:style>
  <w:style w:type="character" w:styleId="ListLabel55">
    <w:name w:val="ListLabel 55"/>
    <w:qFormat/>
    <w:rPr>
      <w:rFonts w:cs="Times New Roman"/>
    </w:rPr>
  </w:style>
  <w:style w:type="character" w:styleId="ListLabel56">
    <w:name w:val="ListLabel 56"/>
    <w:qFormat/>
    <w:rPr>
      <w:rFonts w:cs="Times New Roman"/>
    </w:rPr>
  </w:style>
  <w:style w:type="character" w:styleId="ListLabel57">
    <w:name w:val="ListLabel 57"/>
    <w:qFormat/>
    <w:rPr>
      <w:rFonts w:cs="Times New Roman"/>
    </w:rPr>
  </w:style>
  <w:style w:type="character" w:styleId="ListLabel58">
    <w:name w:val="ListLabel 58"/>
    <w:qFormat/>
    <w:rPr>
      <w:rFonts w:cs="Times New Roman"/>
    </w:rPr>
  </w:style>
  <w:style w:type="character" w:styleId="ListLabel59">
    <w:name w:val="ListLabel 59"/>
    <w:qFormat/>
    <w:rPr>
      <w:rFonts w:cs="Times New Roman"/>
    </w:rPr>
  </w:style>
  <w:style w:type="character" w:styleId="ListLabel60">
    <w:name w:val="ListLabel 60"/>
    <w:qFormat/>
    <w:rPr>
      <w:rFonts w:cs="Times New Roman"/>
    </w:rPr>
  </w:style>
  <w:style w:type="character" w:styleId="ListLabel61">
    <w:name w:val="ListLabel 61"/>
    <w:qFormat/>
    <w:rPr>
      <w:rFonts w:cs="Times New Roman"/>
    </w:rPr>
  </w:style>
  <w:style w:type="character" w:styleId="ListLabel62">
    <w:name w:val="ListLabel 62"/>
    <w:qFormat/>
    <w:rPr>
      <w:rFonts w:cs="Times New Roman"/>
    </w:rPr>
  </w:style>
  <w:style w:type="character" w:styleId="ListLabel63">
    <w:name w:val="ListLabel 63"/>
    <w:qFormat/>
    <w:rPr>
      <w:rFonts w:cs="Times New Roman"/>
    </w:rPr>
  </w:style>
  <w:style w:type="character" w:styleId="ListLabel64">
    <w:name w:val="ListLabel 64"/>
    <w:qFormat/>
    <w:rPr>
      <w:rFonts w:cs="Times New Roman"/>
    </w:rPr>
  </w:style>
  <w:style w:type="character" w:styleId="ListLabel65">
    <w:name w:val="ListLabel 65"/>
    <w:qFormat/>
    <w:rPr>
      <w:rFonts w:cs="Times New Roman"/>
    </w:rPr>
  </w:style>
  <w:style w:type="character" w:styleId="ListLabel66">
    <w:name w:val="ListLabel 66"/>
    <w:qFormat/>
    <w:rPr>
      <w:rFonts w:cs="Times New Roman"/>
    </w:rPr>
  </w:style>
  <w:style w:type="character" w:styleId="ListLabel67">
    <w:name w:val="ListLabel 67"/>
    <w:qFormat/>
    <w:rPr>
      <w:rFonts w:cs="Times New Roman"/>
    </w:rPr>
  </w:style>
  <w:style w:type="character" w:styleId="ListLabel68">
    <w:name w:val="ListLabel 68"/>
    <w:qFormat/>
    <w:rPr>
      <w:rFonts w:cs="Times New Roman"/>
    </w:rPr>
  </w:style>
  <w:style w:type="character" w:styleId="ListLabel69">
    <w:name w:val="ListLabel 69"/>
    <w:qFormat/>
    <w:rPr>
      <w:rFonts w:cs="Times New Roman"/>
    </w:rPr>
  </w:style>
  <w:style w:type="character" w:styleId="ListLabel70">
    <w:name w:val="ListLabel 70"/>
    <w:qFormat/>
    <w:rPr>
      <w:rFonts w:cs="Times New Roman"/>
    </w:rPr>
  </w:style>
  <w:style w:type="character" w:styleId="ListLabel71">
    <w:name w:val="ListLabel 71"/>
    <w:qFormat/>
    <w:rPr>
      <w:rFonts w:cs="Times New Roman"/>
    </w:rPr>
  </w:style>
  <w:style w:type="character" w:styleId="ListLabel72">
    <w:name w:val="ListLabel 72"/>
    <w:qFormat/>
    <w:rPr>
      <w:rFonts w:cs="Times New Roman"/>
    </w:rPr>
  </w:style>
  <w:style w:type="character" w:styleId="ListLabel73">
    <w:name w:val="ListLabel 73"/>
    <w:qFormat/>
    <w:rPr>
      <w:rFonts w:cs="Times New Roman"/>
    </w:rPr>
  </w:style>
  <w:style w:type="character" w:styleId="ListLabel74">
    <w:name w:val="ListLabel 74"/>
    <w:qFormat/>
    <w:rPr>
      <w:rFonts w:cs="Times New Roman"/>
    </w:rPr>
  </w:style>
  <w:style w:type="character" w:styleId="ListLabel75">
    <w:name w:val="ListLabel 75"/>
    <w:qFormat/>
    <w:rPr>
      <w:rFonts w:cs="Times New Roman"/>
    </w:rPr>
  </w:style>
  <w:style w:type="character" w:styleId="ListLabel76">
    <w:name w:val="ListLabel 76"/>
    <w:qFormat/>
    <w:rPr>
      <w:rFonts w:cs="Times New Roman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cs="Times New Roman"/>
    </w:rPr>
  </w:style>
  <w:style w:type="character" w:styleId="ListLabel79">
    <w:name w:val="ListLabel 79"/>
    <w:qFormat/>
    <w:rPr>
      <w:rFonts w:cs="Times New Roman"/>
    </w:rPr>
  </w:style>
  <w:style w:type="character" w:styleId="ListLabel80">
    <w:name w:val="ListLabel 80"/>
    <w:qFormat/>
    <w:rPr>
      <w:rFonts w:cs="Times New Roman"/>
    </w:rPr>
  </w:style>
  <w:style w:type="character" w:styleId="ListLabel81">
    <w:name w:val="ListLabel 81"/>
    <w:qFormat/>
    <w:rPr>
      <w:rFonts w:cs="Times New Roman"/>
    </w:rPr>
  </w:style>
  <w:style w:type="character" w:styleId="ListLabel82">
    <w:name w:val="ListLabel 82"/>
    <w:qFormat/>
    <w:rPr>
      <w:rFonts w:cs="Times New Roman"/>
    </w:rPr>
  </w:style>
  <w:style w:type="character" w:styleId="ListLabel83">
    <w:name w:val="ListLabel 83"/>
    <w:qFormat/>
    <w:rPr>
      <w:rFonts w:cs="Times New Roman"/>
    </w:rPr>
  </w:style>
  <w:style w:type="character" w:styleId="ListLabel84">
    <w:name w:val="ListLabel 84"/>
    <w:qFormat/>
    <w:rPr>
      <w:rFonts w:cs="Times New Roman"/>
    </w:rPr>
  </w:style>
  <w:style w:type="character" w:styleId="ListLabel85">
    <w:name w:val="ListLabel 85"/>
    <w:qFormat/>
    <w:rPr>
      <w:rFonts w:cs="Times New Roman"/>
    </w:rPr>
  </w:style>
  <w:style w:type="character" w:styleId="ListLabel86">
    <w:name w:val="ListLabel 86"/>
    <w:qFormat/>
    <w:rPr>
      <w:rFonts w:cs="Times New Roman"/>
    </w:rPr>
  </w:style>
  <w:style w:type="character" w:styleId="ListLabel87">
    <w:name w:val="ListLabel 87"/>
    <w:qFormat/>
    <w:rPr>
      <w:rFonts w:cs="Times New Roman"/>
    </w:rPr>
  </w:style>
  <w:style w:type="character" w:styleId="ListLabel88">
    <w:name w:val="ListLabel 88"/>
    <w:qFormat/>
    <w:rPr>
      <w:rFonts w:cs="Times New Roman"/>
    </w:rPr>
  </w:style>
  <w:style w:type="character" w:styleId="ListLabel89">
    <w:name w:val="ListLabel 89"/>
    <w:qFormat/>
    <w:rPr>
      <w:rFonts w:cs="Times New Roman"/>
    </w:rPr>
  </w:style>
  <w:style w:type="character" w:styleId="ListLabel90">
    <w:name w:val="ListLabel 90"/>
    <w:qFormat/>
    <w:rPr>
      <w:rFonts w:cs="Times New Roman"/>
    </w:rPr>
  </w:style>
  <w:style w:type="character" w:styleId="ListLabel91">
    <w:name w:val="ListLabel 91"/>
    <w:qFormat/>
    <w:rPr>
      <w:rFonts w:cs="Times New Roman"/>
    </w:rPr>
  </w:style>
  <w:style w:type="character" w:styleId="ListLabel92">
    <w:name w:val="ListLabel 92"/>
    <w:qFormat/>
    <w:rPr>
      <w:rFonts w:cs="Times New Roman"/>
    </w:rPr>
  </w:style>
  <w:style w:type="character" w:styleId="ListLabel93">
    <w:name w:val="ListLabel 93"/>
    <w:qFormat/>
    <w:rPr>
      <w:rFonts w:cs="Times New Roman"/>
    </w:rPr>
  </w:style>
  <w:style w:type="character" w:styleId="ListLabel94">
    <w:name w:val="ListLabel 94"/>
    <w:qFormat/>
    <w:rPr>
      <w:rFonts w:cs="Times New Roman"/>
    </w:rPr>
  </w:style>
  <w:style w:type="character" w:styleId="ListLabel95">
    <w:name w:val="ListLabel 95"/>
    <w:qFormat/>
    <w:rPr>
      <w:rFonts w:cs="Times New Roman"/>
    </w:rPr>
  </w:style>
  <w:style w:type="character" w:styleId="ListLabel96">
    <w:name w:val="ListLabel 96"/>
    <w:qFormat/>
    <w:rPr>
      <w:rFonts w:cs="Times New Roman"/>
    </w:rPr>
  </w:style>
  <w:style w:type="character" w:styleId="ListLabel97">
    <w:name w:val="ListLabel 97"/>
    <w:qFormat/>
    <w:rPr>
      <w:rFonts w:cs="Times New Roman"/>
    </w:rPr>
  </w:style>
  <w:style w:type="character" w:styleId="ListLabel98">
    <w:name w:val="ListLabel 98"/>
    <w:qFormat/>
    <w:rPr>
      <w:rFonts w:cs="Times New Roman"/>
    </w:rPr>
  </w:style>
  <w:style w:type="character" w:styleId="ListLabel99">
    <w:name w:val="ListLabel 99"/>
    <w:qFormat/>
    <w:rPr>
      <w:rFonts w:cs="Times New Roman"/>
    </w:rPr>
  </w:style>
  <w:style w:type="character" w:styleId="ListLabel100">
    <w:name w:val="ListLabel 100"/>
    <w:qFormat/>
    <w:rPr>
      <w:rFonts w:cs="Times New Roman"/>
    </w:rPr>
  </w:style>
  <w:style w:type="character" w:styleId="ListLabel101">
    <w:name w:val="ListLabel 101"/>
    <w:qFormat/>
    <w:rPr>
      <w:rFonts w:cs="Times New Roman"/>
    </w:rPr>
  </w:style>
  <w:style w:type="character" w:styleId="ListLabel102">
    <w:name w:val="ListLabel 102"/>
    <w:qFormat/>
    <w:rPr>
      <w:rFonts w:cs="Times New Roman"/>
    </w:rPr>
  </w:style>
  <w:style w:type="character" w:styleId="ListLabel103">
    <w:name w:val="ListLabel 103"/>
    <w:qFormat/>
    <w:rPr>
      <w:rFonts w:cs="Times New Roman"/>
    </w:rPr>
  </w:style>
  <w:style w:type="character" w:styleId="ListLabel104">
    <w:name w:val="ListLabel 104"/>
    <w:qFormat/>
    <w:rPr>
      <w:rFonts w:cs="Times New Roman"/>
    </w:rPr>
  </w:style>
  <w:style w:type="character" w:styleId="ListLabel105">
    <w:name w:val="ListLabel 105"/>
    <w:qFormat/>
    <w:rPr>
      <w:rFonts w:cs="Times New Roman"/>
    </w:rPr>
  </w:style>
  <w:style w:type="character" w:styleId="ListLabel106">
    <w:name w:val="ListLabel 106"/>
    <w:qFormat/>
    <w:rPr>
      <w:rFonts w:cs="Times New Roman"/>
    </w:rPr>
  </w:style>
  <w:style w:type="character" w:styleId="ListLabel107">
    <w:name w:val="ListLabel 107"/>
    <w:qFormat/>
    <w:rPr>
      <w:rFonts w:cs="Times New Roman"/>
    </w:rPr>
  </w:style>
  <w:style w:type="character" w:styleId="ListLabel108">
    <w:name w:val="ListLabel 108"/>
    <w:qFormat/>
    <w:rPr>
      <w:rFonts w:cs="Times New Roman"/>
    </w:rPr>
  </w:style>
  <w:style w:type="character" w:styleId="ListLabel109">
    <w:name w:val="ListLabel 109"/>
    <w:qFormat/>
    <w:rPr>
      <w:rFonts w:cs="Times New Roman"/>
    </w:rPr>
  </w:style>
  <w:style w:type="character" w:styleId="ListLabel110">
    <w:name w:val="ListLabel 110"/>
    <w:qFormat/>
    <w:rPr>
      <w:rFonts w:cs="Times New Roman"/>
    </w:rPr>
  </w:style>
  <w:style w:type="character" w:styleId="ListLabel111">
    <w:name w:val="ListLabel 111"/>
    <w:qFormat/>
    <w:rPr>
      <w:rFonts w:cs="Times New Roman"/>
    </w:rPr>
  </w:style>
  <w:style w:type="character" w:styleId="ListLabel112">
    <w:name w:val="ListLabel 112"/>
    <w:qFormat/>
    <w:rPr>
      <w:rFonts w:cs="Times New Roman"/>
    </w:rPr>
  </w:style>
  <w:style w:type="character" w:styleId="ListLabel113">
    <w:name w:val="ListLabel 113"/>
    <w:qFormat/>
    <w:rPr>
      <w:rFonts w:cs="Times New Roman"/>
    </w:rPr>
  </w:style>
  <w:style w:type="character" w:styleId="ListLabel114">
    <w:name w:val="ListLabel 114"/>
    <w:qFormat/>
    <w:rPr>
      <w:rFonts w:cs="Times New Roman"/>
    </w:rPr>
  </w:style>
  <w:style w:type="character" w:styleId="ListLabel115">
    <w:name w:val="ListLabel 115"/>
    <w:qFormat/>
    <w:rPr>
      <w:rFonts w:cs="Times New Roman"/>
    </w:rPr>
  </w:style>
  <w:style w:type="character" w:styleId="ListLabel116">
    <w:name w:val="ListLabel 116"/>
    <w:qFormat/>
    <w:rPr>
      <w:rFonts w:cs="Times New Roman"/>
    </w:rPr>
  </w:style>
  <w:style w:type="character" w:styleId="ListLabel117">
    <w:name w:val="ListLabel 117"/>
    <w:qFormat/>
    <w:rPr>
      <w:rFonts w:cs="Times New Roman"/>
    </w:rPr>
  </w:style>
  <w:style w:type="character" w:styleId="ListLabel118">
    <w:name w:val="ListLabel 118"/>
    <w:qFormat/>
    <w:rPr>
      <w:rFonts w:cs="Times New Roman"/>
    </w:rPr>
  </w:style>
  <w:style w:type="character" w:styleId="ListLabel119">
    <w:name w:val="ListLabel 119"/>
    <w:qFormat/>
    <w:rPr>
      <w:rFonts w:cs="Times New Roman"/>
    </w:rPr>
  </w:style>
  <w:style w:type="character" w:styleId="ListLabel120">
    <w:name w:val="ListLabel 120"/>
    <w:qFormat/>
    <w:rPr>
      <w:rFonts w:cs="Times New Roman"/>
    </w:rPr>
  </w:style>
  <w:style w:type="character" w:styleId="ListLabel121">
    <w:name w:val="ListLabel 121"/>
    <w:qFormat/>
    <w:rPr>
      <w:rFonts w:cs="Times New Roman"/>
    </w:rPr>
  </w:style>
  <w:style w:type="character" w:styleId="ListLabel122">
    <w:name w:val="ListLabel 122"/>
    <w:qFormat/>
    <w:rPr>
      <w:rFonts w:cs="Times New Roman"/>
    </w:rPr>
  </w:style>
  <w:style w:type="character" w:styleId="ListLabel123">
    <w:name w:val="ListLabel 123"/>
    <w:qFormat/>
    <w:rPr>
      <w:rFonts w:cs="Times New Roman"/>
    </w:rPr>
  </w:style>
  <w:style w:type="character" w:styleId="ListLabel124">
    <w:name w:val="ListLabel 124"/>
    <w:qFormat/>
    <w:rPr>
      <w:rFonts w:cs="Times New Roman"/>
    </w:rPr>
  </w:style>
  <w:style w:type="character" w:styleId="ListLabel125">
    <w:name w:val="ListLabel 125"/>
    <w:qFormat/>
    <w:rPr>
      <w:rFonts w:cs="Times New Roman"/>
    </w:rPr>
  </w:style>
  <w:style w:type="character" w:styleId="ListLabel126">
    <w:name w:val="ListLabel 126"/>
    <w:qFormat/>
    <w:rPr>
      <w:rFonts w:cs="Times New Roman"/>
    </w:rPr>
  </w:style>
  <w:style w:type="character" w:styleId="ListLabel127">
    <w:name w:val="ListLabel 127"/>
    <w:qFormat/>
    <w:rPr>
      <w:rFonts w:cs="Times New Roman"/>
    </w:rPr>
  </w:style>
  <w:style w:type="character" w:styleId="ListLabel128">
    <w:name w:val="ListLabel 128"/>
    <w:qFormat/>
    <w:rPr>
      <w:rFonts w:cs="Times New Roman"/>
    </w:rPr>
  </w:style>
  <w:style w:type="character" w:styleId="ListLabel129">
    <w:name w:val="ListLabel 129"/>
    <w:qFormat/>
    <w:rPr>
      <w:rFonts w:cs="Times New Roman"/>
    </w:rPr>
  </w:style>
  <w:style w:type="character" w:styleId="ListLabel130">
    <w:name w:val="ListLabel 130"/>
    <w:qFormat/>
    <w:rPr>
      <w:rFonts w:cs="Times New Roman"/>
    </w:rPr>
  </w:style>
  <w:style w:type="character" w:styleId="ListLabel131">
    <w:name w:val="ListLabel 131"/>
    <w:qFormat/>
    <w:rPr>
      <w:rFonts w:cs="Times New Roman"/>
    </w:rPr>
  </w:style>
  <w:style w:type="character" w:styleId="ListLabel132">
    <w:name w:val="ListLabel 132"/>
    <w:qFormat/>
    <w:rPr>
      <w:rFonts w:cs="Times New Roman"/>
    </w:rPr>
  </w:style>
  <w:style w:type="character" w:styleId="ListLabel133">
    <w:name w:val="ListLabel 133"/>
    <w:qFormat/>
    <w:rPr>
      <w:rFonts w:cs="Times New Roman"/>
    </w:rPr>
  </w:style>
  <w:style w:type="character" w:styleId="ListLabel134">
    <w:name w:val="ListLabel 134"/>
    <w:qFormat/>
    <w:rPr>
      <w:rFonts w:cs="Arial"/>
    </w:rPr>
  </w:style>
  <w:style w:type="character" w:styleId="ListLabel135">
    <w:name w:val="ListLabel 135"/>
    <w:qFormat/>
    <w:rPr>
      <w:rFonts w:cs="Times New Roman"/>
    </w:rPr>
  </w:style>
  <w:style w:type="character" w:styleId="ListLabel136">
    <w:name w:val="ListLabel 136"/>
    <w:qFormat/>
    <w:rPr>
      <w:rFonts w:cs="Times New Roman"/>
    </w:rPr>
  </w:style>
  <w:style w:type="character" w:styleId="ListLabel137">
    <w:name w:val="ListLabel 137"/>
    <w:qFormat/>
    <w:rPr>
      <w:rFonts w:cs="Times New Roman"/>
    </w:rPr>
  </w:style>
  <w:style w:type="character" w:styleId="ListLabel138">
    <w:name w:val="ListLabel 138"/>
    <w:qFormat/>
    <w:rPr>
      <w:rFonts w:cs="Times New Roman"/>
    </w:rPr>
  </w:style>
  <w:style w:type="character" w:styleId="ListLabel139">
    <w:name w:val="ListLabel 139"/>
    <w:qFormat/>
    <w:rPr>
      <w:rFonts w:cs="Times New Roman"/>
    </w:rPr>
  </w:style>
  <w:style w:type="character" w:styleId="ListLabel140">
    <w:name w:val="ListLabel 140"/>
    <w:qFormat/>
    <w:rPr>
      <w:rFonts w:cs="Times New Roman"/>
    </w:rPr>
  </w:style>
  <w:style w:type="character" w:styleId="ListLabel141">
    <w:name w:val="ListLabel 141"/>
    <w:qFormat/>
    <w:rPr>
      <w:rFonts w:cs="Times New Roman"/>
    </w:rPr>
  </w:style>
  <w:style w:type="character" w:styleId="ListLabel142">
    <w:name w:val="ListLabel 142"/>
    <w:qFormat/>
    <w:rPr>
      <w:rFonts w:cs="Times New Roman"/>
    </w:rPr>
  </w:style>
  <w:style w:type="character" w:styleId="ListLabel143">
    <w:name w:val="ListLabel 143"/>
    <w:qFormat/>
    <w:rPr>
      <w:rFonts w:cs="Times New Roman"/>
    </w:rPr>
  </w:style>
  <w:style w:type="character" w:styleId="ListLabel144">
    <w:name w:val="ListLabel 144"/>
    <w:qFormat/>
    <w:rPr>
      <w:rFonts w:cs="Times New Roman"/>
    </w:rPr>
  </w:style>
  <w:style w:type="character" w:styleId="ListLabel145">
    <w:name w:val="ListLabel 145"/>
    <w:qFormat/>
    <w:rPr>
      <w:rFonts w:cs="Times New Roman"/>
    </w:rPr>
  </w:style>
  <w:style w:type="character" w:styleId="ListLabel146">
    <w:name w:val="ListLabel 146"/>
    <w:qFormat/>
    <w:rPr>
      <w:rFonts w:cs="Times New Roman"/>
    </w:rPr>
  </w:style>
  <w:style w:type="character" w:styleId="ListLabel147">
    <w:name w:val="ListLabel 147"/>
    <w:qFormat/>
    <w:rPr>
      <w:rFonts w:cs="Times New Roman"/>
    </w:rPr>
  </w:style>
  <w:style w:type="character" w:styleId="ListLabel148">
    <w:name w:val="ListLabel 148"/>
    <w:qFormat/>
    <w:rPr>
      <w:rFonts w:cs="Times New Roman"/>
    </w:rPr>
  </w:style>
  <w:style w:type="character" w:styleId="ListLabel149">
    <w:name w:val="ListLabel 149"/>
    <w:qFormat/>
    <w:rPr>
      <w:rFonts w:cs="Times New Roman"/>
    </w:rPr>
  </w:style>
  <w:style w:type="character" w:styleId="ListLabel150">
    <w:name w:val="ListLabel 150"/>
    <w:qFormat/>
    <w:rPr>
      <w:rFonts w:cs="Times New Roman"/>
    </w:rPr>
  </w:style>
  <w:style w:type="character" w:styleId="ListLabel151">
    <w:name w:val="ListLabel 151"/>
    <w:qFormat/>
    <w:rPr>
      <w:rFonts w:cs="Times New Roman"/>
    </w:rPr>
  </w:style>
  <w:style w:type="character" w:styleId="ListLabel152">
    <w:name w:val="ListLabel 152"/>
    <w:qFormat/>
    <w:rPr>
      <w:rFonts w:cs="Times New Roman"/>
    </w:rPr>
  </w:style>
  <w:style w:type="character" w:styleId="ListLabel153">
    <w:name w:val="ListLabel 153"/>
    <w:qFormat/>
    <w:rPr>
      <w:rFonts w:cs="Times New Roman"/>
    </w:rPr>
  </w:style>
  <w:style w:type="character" w:styleId="ListLabel154">
    <w:name w:val="ListLabel 154"/>
    <w:qFormat/>
    <w:rPr>
      <w:rFonts w:cs="Times New Roman"/>
    </w:rPr>
  </w:style>
  <w:style w:type="character" w:styleId="ListLabel155">
    <w:name w:val="ListLabel 155"/>
    <w:qFormat/>
    <w:rPr>
      <w:rFonts w:cs="Times New Roman"/>
    </w:rPr>
  </w:style>
  <w:style w:type="character" w:styleId="ListLabel156">
    <w:name w:val="ListLabel 156"/>
    <w:qFormat/>
    <w:rPr>
      <w:rFonts w:cs="Times New Roman"/>
    </w:rPr>
  </w:style>
  <w:style w:type="character" w:styleId="ListLabel157">
    <w:name w:val="ListLabel 157"/>
    <w:qFormat/>
    <w:rPr>
      <w:rFonts w:cs="Times New Roman"/>
    </w:rPr>
  </w:style>
  <w:style w:type="character" w:styleId="ListLabel158">
    <w:name w:val="ListLabel 158"/>
    <w:qFormat/>
    <w:rPr>
      <w:rFonts w:cs="Times New Roman"/>
    </w:rPr>
  </w:style>
  <w:style w:type="character" w:styleId="ListLabel159">
    <w:name w:val="ListLabel 159"/>
    <w:qFormat/>
    <w:rPr>
      <w:rFonts w:cs="Times New Roman"/>
    </w:rPr>
  </w:style>
  <w:style w:type="character" w:styleId="ListLabel160">
    <w:name w:val="ListLabel 160"/>
    <w:qFormat/>
    <w:rPr>
      <w:rFonts w:cs="Times New Roman"/>
    </w:rPr>
  </w:style>
  <w:style w:type="character" w:styleId="ListLabel161">
    <w:name w:val="ListLabel 161"/>
    <w:qFormat/>
    <w:rPr>
      <w:rFonts w:cs="Times New Roman"/>
    </w:rPr>
  </w:style>
  <w:style w:type="character" w:styleId="ListLabel162">
    <w:name w:val="ListLabel 162"/>
    <w:qFormat/>
    <w:rPr>
      <w:rFonts w:cs="Times New Roman"/>
    </w:rPr>
  </w:style>
  <w:style w:type="character" w:styleId="ListLabel163">
    <w:name w:val="ListLabel 163"/>
    <w:qFormat/>
    <w:rPr>
      <w:rFonts w:cs="Times New Roman"/>
    </w:rPr>
  </w:style>
  <w:style w:type="character" w:styleId="ListLabel164">
    <w:name w:val="ListLabel 164"/>
    <w:qFormat/>
    <w:rPr>
      <w:rFonts w:cs="Times New Roman"/>
    </w:rPr>
  </w:style>
  <w:style w:type="character" w:styleId="ListLabel165">
    <w:name w:val="ListLabel 165"/>
    <w:qFormat/>
    <w:rPr>
      <w:rFonts w:cs="Times New Roman"/>
    </w:rPr>
  </w:style>
  <w:style w:type="character" w:styleId="ListLabel166">
    <w:name w:val="ListLabel 166"/>
    <w:qFormat/>
    <w:rPr>
      <w:rFonts w:cs="Times New Roman"/>
    </w:rPr>
  </w:style>
  <w:style w:type="character" w:styleId="ListLabel167">
    <w:name w:val="ListLabel 167"/>
    <w:qFormat/>
    <w:rPr>
      <w:rFonts w:cs="Times New Roman"/>
    </w:rPr>
  </w:style>
  <w:style w:type="character" w:styleId="ListLabel168">
    <w:name w:val="ListLabel 168"/>
    <w:qFormat/>
    <w:rPr>
      <w:rFonts w:cs="Times New Roman"/>
    </w:rPr>
  </w:style>
  <w:style w:type="character" w:styleId="ListLabel169">
    <w:name w:val="ListLabel 169"/>
    <w:qFormat/>
    <w:rPr>
      <w:rFonts w:cs="Times New Roman"/>
    </w:rPr>
  </w:style>
  <w:style w:type="character" w:styleId="ListLabel170">
    <w:name w:val="ListLabel 170"/>
    <w:qFormat/>
    <w:rPr>
      <w:rFonts w:cs="Times New Roman"/>
    </w:rPr>
  </w:style>
  <w:style w:type="character" w:styleId="ListLabel171">
    <w:name w:val="ListLabel 171"/>
    <w:qFormat/>
    <w:rPr>
      <w:rFonts w:cs="Times New Roman"/>
    </w:rPr>
  </w:style>
  <w:style w:type="character" w:styleId="ListLabel172">
    <w:name w:val="ListLabel 172"/>
    <w:qFormat/>
    <w:rPr>
      <w:rFonts w:cs="Times New Roman"/>
    </w:rPr>
  </w:style>
  <w:style w:type="character" w:styleId="ListLabel173">
    <w:name w:val="ListLabel 173"/>
    <w:qFormat/>
    <w:rPr>
      <w:rFonts w:cs="Times New Roman"/>
    </w:rPr>
  </w:style>
  <w:style w:type="character" w:styleId="ListLabel174">
    <w:name w:val="ListLabel 174"/>
    <w:qFormat/>
    <w:rPr>
      <w:rFonts w:cs="Times New Roman"/>
    </w:rPr>
  </w:style>
  <w:style w:type="character" w:styleId="ListLabel175">
    <w:name w:val="ListLabel 175"/>
    <w:qFormat/>
    <w:rPr>
      <w:rFonts w:cs="Times New Roman"/>
    </w:rPr>
  </w:style>
  <w:style w:type="character" w:styleId="ListLabel176">
    <w:name w:val="ListLabel 176"/>
    <w:qFormat/>
    <w:rPr>
      <w:rFonts w:cs="Times New Roman"/>
    </w:rPr>
  </w:style>
  <w:style w:type="character" w:styleId="ListLabel177">
    <w:name w:val="ListLabel 177"/>
    <w:qFormat/>
    <w:rPr>
      <w:rFonts w:cs="Times New Roman"/>
    </w:rPr>
  </w:style>
  <w:style w:type="character" w:styleId="ListLabel178">
    <w:name w:val="ListLabel 178"/>
    <w:qFormat/>
    <w:rPr>
      <w:rFonts w:cs="Times New Roman"/>
    </w:rPr>
  </w:style>
  <w:style w:type="character" w:styleId="ListLabel179">
    <w:name w:val="ListLabel 179"/>
    <w:qFormat/>
    <w:rPr>
      <w:rFonts w:cs="Times New Roman"/>
    </w:rPr>
  </w:style>
  <w:style w:type="character" w:styleId="ListLabel180">
    <w:name w:val="ListLabel 180"/>
    <w:qFormat/>
    <w:rPr>
      <w:rFonts w:cs="Times New Roman"/>
    </w:rPr>
  </w:style>
  <w:style w:type="character" w:styleId="ListLabel181">
    <w:name w:val="ListLabel 181"/>
    <w:qFormat/>
    <w:rPr>
      <w:rFonts w:cs="Times New Roman"/>
    </w:rPr>
  </w:style>
  <w:style w:type="character" w:styleId="ListLabel182">
    <w:name w:val="ListLabel 182"/>
    <w:qFormat/>
    <w:rPr>
      <w:rFonts w:cs="Times New Roman"/>
    </w:rPr>
  </w:style>
  <w:style w:type="character" w:styleId="ListLabel183">
    <w:name w:val="ListLabel 183"/>
    <w:qFormat/>
    <w:rPr>
      <w:rFonts w:cs="Times New Roman"/>
    </w:rPr>
  </w:style>
  <w:style w:type="character" w:styleId="ListLabel184">
    <w:name w:val="ListLabel 184"/>
    <w:qFormat/>
    <w:rPr>
      <w:rFonts w:cs="Times New Roman"/>
    </w:rPr>
  </w:style>
  <w:style w:type="character" w:styleId="ListLabel185">
    <w:name w:val="ListLabel 185"/>
    <w:qFormat/>
    <w:rPr>
      <w:rFonts w:cs="Times New Roman"/>
    </w:rPr>
  </w:style>
  <w:style w:type="character" w:styleId="ListLabel186">
    <w:name w:val="ListLabel 186"/>
    <w:qFormat/>
    <w:rPr>
      <w:rFonts w:cs="Times New Roman"/>
    </w:rPr>
  </w:style>
  <w:style w:type="character" w:styleId="ListLabel187">
    <w:name w:val="ListLabel 187"/>
    <w:qFormat/>
    <w:rPr>
      <w:rFonts w:cs="Times New Roman"/>
    </w:rPr>
  </w:style>
  <w:style w:type="character" w:styleId="ListLabel188">
    <w:name w:val="ListLabel 188"/>
    <w:qFormat/>
    <w:rPr>
      <w:rFonts w:cs="Times New Roman"/>
    </w:rPr>
  </w:style>
  <w:style w:type="character" w:styleId="ListLabel189">
    <w:name w:val="ListLabel 189"/>
    <w:qFormat/>
    <w:rPr>
      <w:rFonts w:cs="Times New Roman"/>
    </w:rPr>
  </w:style>
  <w:style w:type="character" w:styleId="ListLabel190">
    <w:name w:val="ListLabel 190"/>
    <w:qFormat/>
    <w:rPr>
      <w:rFonts w:cs="Times New Roman"/>
    </w:rPr>
  </w:style>
  <w:style w:type="character" w:styleId="ListLabel191">
    <w:name w:val="ListLabel 191"/>
    <w:qFormat/>
    <w:rPr>
      <w:rFonts w:cs="Times New Roman"/>
    </w:rPr>
  </w:style>
  <w:style w:type="character" w:styleId="ListLabel192">
    <w:name w:val="ListLabel 192"/>
    <w:qFormat/>
    <w:rPr>
      <w:rFonts w:cs="Times New Roman"/>
    </w:rPr>
  </w:style>
  <w:style w:type="character" w:styleId="ListLabel193">
    <w:name w:val="ListLabel 193"/>
    <w:qFormat/>
    <w:rPr>
      <w:rFonts w:cs="Times New Roman"/>
    </w:rPr>
  </w:style>
  <w:style w:type="character" w:styleId="ListLabel194">
    <w:name w:val="ListLabel 194"/>
    <w:qFormat/>
    <w:rPr>
      <w:rFonts w:cs="Times New Roman"/>
    </w:rPr>
  </w:style>
  <w:style w:type="character" w:styleId="ListLabel195">
    <w:name w:val="ListLabel 195"/>
    <w:qFormat/>
    <w:rPr>
      <w:rFonts w:cs="Times New Roman"/>
    </w:rPr>
  </w:style>
  <w:style w:type="character" w:styleId="ListLabel196">
    <w:name w:val="ListLabel 196"/>
    <w:qFormat/>
    <w:rPr>
      <w:rFonts w:cs="Times New Roman"/>
    </w:rPr>
  </w:style>
  <w:style w:type="character" w:styleId="ListLabel197">
    <w:name w:val="ListLabel 197"/>
    <w:qFormat/>
    <w:rPr>
      <w:rFonts w:cs="Times New Roman"/>
    </w:rPr>
  </w:style>
  <w:style w:type="character" w:styleId="ListLabel198">
    <w:name w:val="ListLabel 198"/>
    <w:qFormat/>
    <w:rPr>
      <w:rFonts w:cs="Times New Roman"/>
    </w:rPr>
  </w:style>
  <w:style w:type="character" w:styleId="ListLabel199">
    <w:name w:val="ListLabel 199"/>
    <w:qFormat/>
    <w:rPr>
      <w:rFonts w:cs="Times New Roman"/>
    </w:rPr>
  </w:style>
  <w:style w:type="character" w:styleId="ListLabel200">
    <w:name w:val="ListLabel 200"/>
    <w:qFormat/>
    <w:rPr>
      <w:rFonts w:cs="Times New Roman"/>
    </w:rPr>
  </w:style>
  <w:style w:type="character" w:styleId="ListLabel201">
    <w:name w:val="ListLabel 201"/>
    <w:qFormat/>
    <w:rPr>
      <w:rFonts w:cs="Times New Roman"/>
    </w:rPr>
  </w:style>
  <w:style w:type="character" w:styleId="ListLabel202">
    <w:name w:val="ListLabel 202"/>
    <w:qFormat/>
    <w:rPr>
      <w:rFonts w:cs="Times New Roman"/>
    </w:rPr>
  </w:style>
  <w:style w:type="character" w:styleId="ListLabel203">
    <w:name w:val="ListLabel 203"/>
    <w:qFormat/>
    <w:rPr>
      <w:rFonts w:cs="Times New Roman"/>
    </w:rPr>
  </w:style>
  <w:style w:type="character" w:styleId="ListLabel204">
    <w:name w:val="ListLabel 204"/>
    <w:qFormat/>
    <w:rPr>
      <w:rFonts w:cs="Times New Roman"/>
    </w:rPr>
  </w:style>
  <w:style w:type="character" w:styleId="ListLabel205">
    <w:name w:val="ListLabel 205"/>
    <w:qFormat/>
    <w:rPr>
      <w:rFonts w:cs="Times New Roman"/>
    </w:rPr>
  </w:style>
  <w:style w:type="character" w:styleId="ListLabel206">
    <w:name w:val="ListLabel 206"/>
    <w:qFormat/>
    <w:rPr>
      <w:rFonts w:cs="Times New Roman"/>
    </w:rPr>
  </w:style>
  <w:style w:type="character" w:styleId="ListLabel207">
    <w:name w:val="ListLabel 207"/>
    <w:qFormat/>
    <w:rPr>
      <w:rFonts w:cs="Times New Roman"/>
    </w:rPr>
  </w:style>
  <w:style w:type="character" w:styleId="ListLabel208">
    <w:name w:val="ListLabel 208"/>
    <w:qFormat/>
    <w:rPr>
      <w:rFonts w:cs="Times New Roman"/>
    </w:rPr>
  </w:style>
  <w:style w:type="character" w:styleId="ListLabel209">
    <w:name w:val="ListLabel 209"/>
    <w:qFormat/>
    <w:rPr>
      <w:rFonts w:cs="Times New Roman"/>
    </w:rPr>
  </w:style>
  <w:style w:type="character" w:styleId="ListLabel210">
    <w:name w:val="ListLabel 210"/>
    <w:qFormat/>
    <w:rPr>
      <w:rFonts w:cs="Times New Roman"/>
    </w:rPr>
  </w:style>
  <w:style w:type="character" w:styleId="ListLabel211">
    <w:name w:val="ListLabel 211"/>
    <w:qFormat/>
    <w:rPr>
      <w:rFonts w:cs="Times New Roman"/>
    </w:rPr>
  </w:style>
  <w:style w:type="character" w:styleId="ListLabel212">
    <w:name w:val="ListLabel 212"/>
    <w:qFormat/>
    <w:rPr>
      <w:rFonts w:cs="Times New Roman"/>
    </w:rPr>
  </w:style>
  <w:style w:type="character" w:styleId="ListLabel213">
    <w:name w:val="ListLabel 213"/>
    <w:qFormat/>
    <w:rPr>
      <w:rFonts w:cs="Times New Roman"/>
    </w:rPr>
  </w:style>
  <w:style w:type="character" w:styleId="ListLabel214">
    <w:name w:val="ListLabel 214"/>
    <w:qFormat/>
    <w:rPr>
      <w:rFonts w:cs="Times New Roman"/>
    </w:rPr>
  </w:style>
  <w:style w:type="character" w:styleId="ListLabel215">
    <w:name w:val="ListLabel 215"/>
    <w:qFormat/>
    <w:rPr>
      <w:rFonts w:cs="Times New Roman"/>
    </w:rPr>
  </w:style>
  <w:style w:type="character" w:styleId="ListLabel216">
    <w:name w:val="ListLabel 216"/>
    <w:qFormat/>
    <w:rPr>
      <w:rFonts w:cs="Times New Roman"/>
    </w:rPr>
  </w:style>
  <w:style w:type="character" w:styleId="ListLabel217">
    <w:name w:val="ListLabel 217"/>
    <w:qFormat/>
    <w:rPr>
      <w:rFonts w:cs="Times New Roman"/>
    </w:rPr>
  </w:style>
  <w:style w:type="character" w:styleId="ListLabel218">
    <w:name w:val="ListLabel 218"/>
    <w:qFormat/>
    <w:rPr>
      <w:rFonts w:cs="Times New Roman"/>
    </w:rPr>
  </w:style>
  <w:style w:type="character" w:styleId="ListLabel219">
    <w:name w:val="ListLabel 219"/>
    <w:qFormat/>
    <w:rPr>
      <w:rFonts w:cs="Times New Roman"/>
    </w:rPr>
  </w:style>
  <w:style w:type="character" w:styleId="ListLabel220">
    <w:name w:val="ListLabel 220"/>
    <w:qFormat/>
    <w:rPr>
      <w:rFonts w:cs="Times New Roman"/>
    </w:rPr>
  </w:style>
  <w:style w:type="character" w:styleId="ListLabel221">
    <w:name w:val="ListLabel 221"/>
    <w:qFormat/>
    <w:rPr>
      <w:rFonts w:cs="Times New Roman"/>
    </w:rPr>
  </w:style>
  <w:style w:type="character" w:styleId="ListLabel222">
    <w:name w:val="ListLabel 222"/>
    <w:qFormat/>
    <w:rPr>
      <w:rFonts w:cs="Times New Roman"/>
    </w:rPr>
  </w:style>
  <w:style w:type="character" w:styleId="ListLabel223">
    <w:name w:val="ListLabel 223"/>
    <w:qFormat/>
    <w:rPr>
      <w:rFonts w:cs="Times New Roman"/>
    </w:rPr>
  </w:style>
  <w:style w:type="character" w:styleId="ListLabel224">
    <w:name w:val="ListLabel 224"/>
    <w:qFormat/>
    <w:rPr>
      <w:rFonts w:cs="Times New Roman"/>
    </w:rPr>
  </w:style>
  <w:style w:type="character" w:styleId="ListLabel225">
    <w:name w:val="ListLabel 225"/>
    <w:qFormat/>
    <w:rPr>
      <w:rFonts w:cs="Times New Roman"/>
    </w:rPr>
  </w:style>
  <w:style w:type="character" w:styleId="ListLabel226">
    <w:name w:val="ListLabel 226"/>
    <w:qFormat/>
    <w:rPr>
      <w:rFonts w:cs="Times New Roman"/>
    </w:rPr>
  </w:style>
  <w:style w:type="character" w:styleId="ListLabel227">
    <w:name w:val="ListLabel 227"/>
    <w:qFormat/>
    <w:rPr>
      <w:rFonts w:cs="Times New Roman"/>
    </w:rPr>
  </w:style>
  <w:style w:type="character" w:styleId="ListLabel228">
    <w:name w:val="ListLabel 228"/>
    <w:qFormat/>
    <w:rPr>
      <w:rFonts w:cs="Times New Roman"/>
    </w:rPr>
  </w:style>
  <w:style w:type="character" w:styleId="ListLabel229">
    <w:name w:val="ListLabel 229"/>
    <w:qFormat/>
    <w:rPr>
      <w:rFonts w:cs="Times New Roman"/>
    </w:rPr>
  </w:style>
  <w:style w:type="character" w:styleId="ListLabel230">
    <w:name w:val="ListLabel 230"/>
    <w:qFormat/>
    <w:rPr>
      <w:rFonts w:cs="Times New Roman"/>
    </w:rPr>
  </w:style>
  <w:style w:type="character" w:styleId="ListLabel231">
    <w:name w:val="ListLabel 231"/>
    <w:qFormat/>
    <w:rPr>
      <w:rFonts w:cs="Times New Roman"/>
    </w:rPr>
  </w:style>
  <w:style w:type="character" w:styleId="ListLabel232">
    <w:name w:val="ListLabel 232"/>
    <w:qFormat/>
    <w:rPr>
      <w:rFonts w:cs="Times New Roman"/>
    </w:rPr>
  </w:style>
  <w:style w:type="character" w:styleId="ListLabel233">
    <w:name w:val="ListLabel 233"/>
    <w:qFormat/>
    <w:rPr>
      <w:rFonts w:cs="Times New Roman"/>
    </w:rPr>
  </w:style>
  <w:style w:type="character" w:styleId="ListLabel234">
    <w:name w:val="ListLabel 234"/>
    <w:qFormat/>
    <w:rPr>
      <w:rFonts w:ascii="PT Astra Serif" w:hAnsi="PT Astra Serif" w:cs="Times New Roman"/>
      <w:sz w:val="16"/>
    </w:rPr>
  </w:style>
  <w:style w:type="character" w:styleId="ListLabel235">
    <w:name w:val="ListLabel 235"/>
    <w:qFormat/>
    <w:rPr>
      <w:rFonts w:cs="Times New Roman"/>
    </w:rPr>
  </w:style>
  <w:style w:type="character" w:styleId="ListLabel236">
    <w:name w:val="ListLabel 236"/>
    <w:qFormat/>
    <w:rPr>
      <w:rFonts w:cs="Times New Roman"/>
    </w:rPr>
  </w:style>
  <w:style w:type="character" w:styleId="ListLabel237">
    <w:name w:val="ListLabel 237"/>
    <w:qFormat/>
    <w:rPr>
      <w:rFonts w:cs="Times New Roman"/>
    </w:rPr>
  </w:style>
  <w:style w:type="character" w:styleId="ListLabel238">
    <w:name w:val="ListLabel 238"/>
    <w:qFormat/>
    <w:rPr>
      <w:rFonts w:cs="Times New Roman"/>
    </w:rPr>
  </w:style>
  <w:style w:type="character" w:styleId="ListLabel239">
    <w:name w:val="ListLabel 239"/>
    <w:qFormat/>
    <w:rPr>
      <w:rFonts w:cs="Times New Roman"/>
    </w:rPr>
  </w:style>
  <w:style w:type="character" w:styleId="ListLabel240">
    <w:name w:val="ListLabel 240"/>
    <w:qFormat/>
    <w:rPr>
      <w:rFonts w:cs="Times New Roman"/>
    </w:rPr>
  </w:style>
  <w:style w:type="character" w:styleId="ListLabel241">
    <w:name w:val="ListLabel 241"/>
    <w:qFormat/>
    <w:rPr>
      <w:rFonts w:cs="Times New Roman"/>
    </w:rPr>
  </w:style>
  <w:style w:type="character" w:styleId="ListLabel242">
    <w:name w:val="ListLabel 242"/>
    <w:qFormat/>
    <w:rPr>
      <w:rFonts w:cs="Times New Roman"/>
    </w:rPr>
  </w:style>
  <w:style w:type="character" w:styleId="ListLabel243">
    <w:name w:val="ListLabel 243"/>
    <w:qFormat/>
    <w:rPr>
      <w:rFonts w:cs="Courier New"/>
    </w:rPr>
  </w:style>
  <w:style w:type="character" w:styleId="ListLabel244">
    <w:name w:val="ListLabel 244"/>
    <w:qFormat/>
    <w:rPr>
      <w:rFonts w:cs="Courier New"/>
    </w:rPr>
  </w:style>
  <w:style w:type="character" w:styleId="ListLabel245">
    <w:name w:val="ListLabel 245"/>
    <w:qFormat/>
    <w:rPr>
      <w:rFonts w:cs="Courier New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link w:val="a6"/>
    <w:rsid w:val="00fc425e"/>
    <w:pPr>
      <w:jc w:val="center"/>
    </w:pPr>
    <w:rPr>
      <w:b/>
      <w:bCs/>
      <w:color w:val="000000"/>
      <w:sz w:val="28"/>
    </w:rPr>
  </w:style>
  <w:style w:type="paragraph" w:styleId="Style17">
    <w:name w:val="List"/>
    <w:basedOn w:val="Normal"/>
    <w:uiPriority w:val="99"/>
    <w:rsid w:val="00fc425e"/>
    <w:pPr>
      <w:ind w:left="283" w:hanging="283"/>
    </w:pPr>
    <w:rPr>
      <w:sz w:val="24"/>
      <w:szCs w:val="24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Style20">
    <w:name w:val="Title"/>
    <w:basedOn w:val="Normal"/>
    <w:link w:val="a4"/>
    <w:uiPriority w:val="99"/>
    <w:qFormat/>
    <w:rsid w:val="00fc425e"/>
    <w:pPr>
      <w:jc w:val="center"/>
    </w:pPr>
    <w:rPr>
      <w:rFonts w:ascii="Arial" w:hAnsi="Arial"/>
      <w:b/>
      <w:color w:val="000000"/>
      <w:sz w:val="22"/>
    </w:rPr>
  </w:style>
  <w:style w:type="paragraph" w:styleId="ConsPlusNonformat" w:customStyle="1">
    <w:name w:val="ConsPlusNonformat"/>
    <w:uiPriority w:val="99"/>
    <w:qFormat/>
    <w:rsid w:val="00fc425e"/>
    <w:pPr>
      <w:widowControl w:val="false"/>
      <w:bidi w:val="0"/>
      <w:jc w:val="left"/>
    </w:pPr>
    <w:rPr>
      <w:rFonts w:ascii="Courier New" w:hAnsi="Courier New" w:cs="Courier New" w:eastAsia="Times New Roman"/>
      <w:color w:val="auto"/>
      <w:sz w:val="20"/>
      <w:szCs w:val="20"/>
      <w:lang w:val="ru-RU" w:eastAsia="ru-RU" w:bidi="ar-SA"/>
    </w:rPr>
  </w:style>
  <w:style w:type="paragraph" w:styleId="Style21">
    <w:name w:val="Body Text Indent"/>
    <w:basedOn w:val="Normal"/>
    <w:link w:val="a8"/>
    <w:uiPriority w:val="99"/>
    <w:rsid w:val="00fc425e"/>
    <w:pPr>
      <w:ind w:firstLine="720"/>
      <w:jc w:val="both"/>
    </w:pPr>
    <w:rPr>
      <w:rFonts w:ascii="Arial" w:hAnsi="Arial"/>
      <w:color w:val="000000"/>
      <w:sz w:val="22"/>
    </w:rPr>
  </w:style>
  <w:style w:type="paragraph" w:styleId="BodyTextIndent2">
    <w:name w:val="Body Text Indent 2"/>
    <w:basedOn w:val="Normal"/>
    <w:link w:val="22"/>
    <w:uiPriority w:val="99"/>
    <w:qFormat/>
    <w:rsid w:val="00fc425e"/>
    <w:pPr>
      <w:ind w:left="709" w:hanging="0"/>
      <w:jc w:val="both"/>
    </w:pPr>
    <w:rPr>
      <w:rFonts w:ascii="Arial" w:hAnsi="Arial"/>
      <w:color w:val="000000"/>
      <w:sz w:val="22"/>
    </w:rPr>
  </w:style>
  <w:style w:type="paragraph" w:styleId="BodyText2">
    <w:name w:val="Body Text 2"/>
    <w:basedOn w:val="Normal"/>
    <w:link w:val="24"/>
    <w:uiPriority w:val="99"/>
    <w:qFormat/>
    <w:rsid w:val="00fc425e"/>
    <w:pPr>
      <w:jc w:val="right"/>
    </w:pPr>
    <w:rPr>
      <w:rFonts w:ascii="Arial" w:hAnsi="Arial"/>
    </w:rPr>
  </w:style>
  <w:style w:type="paragraph" w:styleId="Style22">
    <w:name w:val="Footer"/>
    <w:basedOn w:val="Normal"/>
    <w:link w:val="aa"/>
    <w:uiPriority w:val="99"/>
    <w:rsid w:val="00fc425e"/>
    <w:pPr>
      <w:tabs>
        <w:tab w:val="center" w:pos="4677" w:leader="none"/>
        <w:tab w:val="right" w:pos="9355" w:leader="none"/>
      </w:tabs>
    </w:pPr>
    <w:rPr/>
  </w:style>
  <w:style w:type="paragraph" w:styleId="Style23">
    <w:name w:val="Header"/>
    <w:basedOn w:val="Normal"/>
    <w:link w:val="ad"/>
    <w:uiPriority w:val="99"/>
    <w:rsid w:val="00fc425e"/>
    <w:pPr>
      <w:tabs>
        <w:tab w:val="center" w:pos="4677" w:leader="none"/>
        <w:tab w:val="right" w:pos="9355" w:leader="none"/>
      </w:tabs>
    </w:pPr>
    <w:rPr/>
  </w:style>
  <w:style w:type="paragraph" w:styleId="BodyText3">
    <w:name w:val="Body Text 3"/>
    <w:basedOn w:val="Normal"/>
    <w:link w:val="32"/>
    <w:uiPriority w:val="99"/>
    <w:qFormat/>
    <w:rsid w:val="00fc425e"/>
    <w:pPr>
      <w:jc w:val="both"/>
    </w:pPr>
    <w:rPr>
      <w:rFonts w:ascii="Arial" w:hAnsi="Arial"/>
      <w:color w:val="000000"/>
      <w:sz w:val="24"/>
      <w:szCs w:val="24"/>
    </w:rPr>
  </w:style>
  <w:style w:type="paragraph" w:styleId="PlainText">
    <w:name w:val="Plain Text"/>
    <w:basedOn w:val="Normal"/>
    <w:link w:val="af0"/>
    <w:uiPriority w:val="99"/>
    <w:qFormat/>
    <w:rsid w:val="00fc425e"/>
    <w:pPr/>
    <w:rPr>
      <w:rFonts w:ascii="Courier New" w:hAnsi="Courier New" w:cs="Courier New"/>
    </w:rPr>
  </w:style>
  <w:style w:type="paragraph" w:styleId="Footnotetext">
    <w:name w:val="footnote text"/>
    <w:basedOn w:val="Normal"/>
    <w:link w:val="af2"/>
    <w:uiPriority w:val="99"/>
    <w:semiHidden/>
    <w:qFormat/>
    <w:rsid w:val="00fc425e"/>
    <w:pPr/>
    <w:rPr>
      <w:szCs w:val="24"/>
    </w:rPr>
  </w:style>
  <w:style w:type="paragraph" w:styleId="BalloonText">
    <w:name w:val="Balloon Text"/>
    <w:basedOn w:val="Normal"/>
    <w:link w:val="af5"/>
    <w:uiPriority w:val="99"/>
    <w:semiHidden/>
    <w:qFormat/>
    <w:rsid w:val="003545cf"/>
    <w:pPr/>
    <w:rPr>
      <w:rFonts w:ascii="Tahoma" w:hAnsi="Tahoma" w:cs="Tahoma"/>
      <w:sz w:val="16"/>
      <w:szCs w:val="16"/>
    </w:rPr>
  </w:style>
  <w:style w:type="paragraph" w:styleId="ConsPlusNormal" w:customStyle="1">
    <w:name w:val="ConsPlusNormal"/>
    <w:uiPriority w:val="99"/>
    <w:qFormat/>
    <w:rsid w:val="00bb35c9"/>
    <w:pPr>
      <w:widowControl w:val="false"/>
      <w:bidi w:val="0"/>
      <w:ind w:firstLine="720"/>
      <w:jc w:val="left"/>
    </w:pPr>
    <w:rPr>
      <w:rFonts w:ascii="Arial" w:hAnsi="Arial" w:cs="Arial" w:eastAsia="Times New Roman"/>
      <w:color w:val="auto"/>
      <w:sz w:val="20"/>
      <w:szCs w:val="20"/>
      <w:lang w:val="ru-RU" w:eastAsia="ru-RU" w:bidi="ar-SA"/>
    </w:rPr>
  </w:style>
  <w:style w:type="paragraph" w:styleId="Font5" w:customStyle="1">
    <w:name w:val="font5"/>
    <w:basedOn w:val="Normal"/>
    <w:qFormat/>
    <w:rsid w:val="009a6b70"/>
    <w:pPr>
      <w:spacing w:beforeAutospacing="1" w:afterAutospacing="1"/>
    </w:pPr>
    <w:rPr>
      <w:rFonts w:ascii="Arial" w:hAnsi="Arial" w:cs="Arial"/>
    </w:rPr>
  </w:style>
  <w:style w:type="paragraph" w:styleId="Font6" w:customStyle="1">
    <w:name w:val="font6"/>
    <w:basedOn w:val="Normal"/>
    <w:uiPriority w:val="99"/>
    <w:qFormat/>
    <w:rsid w:val="009a6b70"/>
    <w:pPr>
      <w:spacing w:beforeAutospacing="1" w:afterAutospacing="1"/>
    </w:pPr>
    <w:rPr>
      <w:rFonts w:ascii="Arial" w:hAnsi="Arial" w:cs="Arial"/>
      <w:i/>
      <w:iCs/>
      <w:color w:val="000000"/>
      <w:sz w:val="16"/>
      <w:szCs w:val="16"/>
    </w:rPr>
  </w:style>
  <w:style w:type="paragraph" w:styleId="Font7" w:customStyle="1">
    <w:name w:val="font7"/>
    <w:basedOn w:val="Normal"/>
    <w:uiPriority w:val="99"/>
    <w:qFormat/>
    <w:rsid w:val="009a6b70"/>
    <w:pPr>
      <w:spacing w:beforeAutospacing="1" w:afterAutospacing="1"/>
    </w:pPr>
    <w:rPr>
      <w:rFonts w:ascii="Arial" w:hAnsi="Arial" w:cs="Arial"/>
      <w:sz w:val="24"/>
      <w:szCs w:val="24"/>
    </w:rPr>
  </w:style>
  <w:style w:type="paragraph" w:styleId="Xl65" w:customStyle="1">
    <w:name w:val="xl65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both"/>
    </w:pPr>
    <w:rPr>
      <w:rFonts w:ascii="Arial" w:hAnsi="Arial" w:cs="Arial"/>
      <w:color w:val="000000"/>
      <w:sz w:val="24"/>
      <w:szCs w:val="24"/>
    </w:rPr>
  </w:style>
  <w:style w:type="paragraph" w:styleId="Xl66" w:customStyle="1">
    <w:name w:val="xl66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color w:val="000000"/>
      <w:sz w:val="24"/>
      <w:szCs w:val="24"/>
    </w:rPr>
  </w:style>
  <w:style w:type="paragraph" w:styleId="Xl67" w:customStyle="1">
    <w:name w:val="xl67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b/>
      <w:bCs/>
      <w:sz w:val="24"/>
      <w:szCs w:val="24"/>
    </w:rPr>
  </w:style>
  <w:style w:type="paragraph" w:styleId="Xl68" w:customStyle="1">
    <w:name w:val="xl68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b/>
      <w:bCs/>
      <w:i/>
      <w:iCs/>
      <w:sz w:val="24"/>
      <w:szCs w:val="24"/>
    </w:rPr>
  </w:style>
  <w:style w:type="paragraph" w:styleId="Xl69" w:customStyle="1">
    <w:name w:val="xl69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sz w:val="24"/>
      <w:szCs w:val="24"/>
    </w:rPr>
  </w:style>
  <w:style w:type="paragraph" w:styleId="Xl70" w:customStyle="1">
    <w:name w:val="xl70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i/>
      <w:iCs/>
      <w:sz w:val="24"/>
      <w:szCs w:val="24"/>
    </w:rPr>
  </w:style>
  <w:style w:type="paragraph" w:styleId="Xl71" w:customStyle="1">
    <w:name w:val="xl71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both"/>
    </w:pPr>
    <w:rPr>
      <w:rFonts w:ascii="Arial" w:hAnsi="Arial" w:cs="Arial"/>
      <w:i/>
      <w:iCs/>
      <w:color w:val="000000"/>
      <w:sz w:val="24"/>
      <w:szCs w:val="24"/>
    </w:rPr>
  </w:style>
  <w:style w:type="paragraph" w:styleId="Xl72" w:customStyle="1">
    <w:name w:val="xl72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24"/>
      <w:szCs w:val="24"/>
    </w:rPr>
  </w:style>
  <w:style w:type="paragraph" w:styleId="Xl73" w:customStyle="1">
    <w:name w:val="xl73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sz w:val="24"/>
      <w:szCs w:val="24"/>
    </w:rPr>
  </w:style>
  <w:style w:type="paragraph" w:styleId="Xl74" w:customStyle="1">
    <w:name w:val="xl74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sz w:val="24"/>
      <w:szCs w:val="24"/>
    </w:rPr>
  </w:style>
  <w:style w:type="paragraph" w:styleId="Xl75" w:customStyle="1">
    <w:name w:val="xl75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i/>
      <w:iCs/>
      <w:sz w:val="24"/>
      <w:szCs w:val="24"/>
    </w:rPr>
  </w:style>
  <w:style w:type="paragraph" w:styleId="Xl76" w:customStyle="1">
    <w:name w:val="xl76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i/>
      <w:iCs/>
      <w:sz w:val="24"/>
      <w:szCs w:val="24"/>
    </w:rPr>
  </w:style>
  <w:style w:type="paragraph" w:styleId="Xl77" w:customStyle="1">
    <w:name w:val="xl77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i/>
      <w:iCs/>
      <w:color w:val="000000"/>
      <w:sz w:val="24"/>
      <w:szCs w:val="24"/>
    </w:rPr>
  </w:style>
  <w:style w:type="paragraph" w:styleId="Xl78" w:customStyle="1">
    <w:name w:val="xl78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24"/>
      <w:szCs w:val="24"/>
    </w:rPr>
  </w:style>
  <w:style w:type="paragraph" w:styleId="Xl79" w:customStyle="1">
    <w:name w:val="xl79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24"/>
      <w:szCs w:val="24"/>
    </w:rPr>
  </w:style>
  <w:style w:type="paragraph" w:styleId="Xl80" w:customStyle="1">
    <w:name w:val="xl80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24"/>
      <w:szCs w:val="24"/>
    </w:rPr>
  </w:style>
  <w:style w:type="paragraph" w:styleId="Xl81" w:customStyle="1">
    <w:name w:val="xl81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b/>
      <w:bCs/>
      <w:color w:val="000000"/>
      <w:sz w:val="24"/>
      <w:szCs w:val="24"/>
    </w:rPr>
  </w:style>
  <w:style w:type="paragraph" w:styleId="Xl82" w:customStyle="1">
    <w:name w:val="xl82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b/>
      <w:bCs/>
      <w:sz w:val="24"/>
      <w:szCs w:val="24"/>
    </w:rPr>
  </w:style>
  <w:style w:type="paragraph" w:styleId="Xl83" w:customStyle="1">
    <w:name w:val="xl83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sz w:val="16"/>
      <w:szCs w:val="16"/>
    </w:rPr>
  </w:style>
  <w:style w:type="paragraph" w:styleId="Xl84" w:customStyle="1">
    <w:name w:val="xl84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b/>
      <w:bCs/>
      <w:i/>
      <w:iCs/>
      <w:sz w:val="16"/>
      <w:szCs w:val="16"/>
    </w:rPr>
  </w:style>
  <w:style w:type="paragraph" w:styleId="Xl85" w:customStyle="1">
    <w:name w:val="xl85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b/>
      <w:bCs/>
      <w:i/>
      <w:iCs/>
      <w:sz w:val="16"/>
      <w:szCs w:val="16"/>
    </w:rPr>
  </w:style>
  <w:style w:type="paragraph" w:styleId="Xl86" w:customStyle="1">
    <w:name w:val="xl86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b/>
      <w:bCs/>
      <w:color w:val="000000"/>
      <w:sz w:val="16"/>
      <w:szCs w:val="16"/>
    </w:rPr>
  </w:style>
  <w:style w:type="paragraph" w:styleId="Xl87" w:customStyle="1">
    <w:name w:val="xl87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b/>
      <w:bCs/>
      <w:sz w:val="16"/>
      <w:szCs w:val="16"/>
    </w:rPr>
  </w:style>
  <w:style w:type="paragraph" w:styleId="Xl88" w:customStyle="1">
    <w:name w:val="xl88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top"/>
    </w:pPr>
    <w:rPr>
      <w:rFonts w:ascii="Arial" w:hAnsi="Arial" w:cs="Arial"/>
      <w:color w:val="000000"/>
      <w:sz w:val="16"/>
      <w:szCs w:val="16"/>
    </w:rPr>
  </w:style>
  <w:style w:type="paragraph" w:styleId="Xl89" w:customStyle="1">
    <w:name w:val="xl89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both"/>
    </w:pPr>
    <w:rPr>
      <w:rFonts w:ascii="Arial" w:hAnsi="Arial" w:cs="Arial"/>
      <w:color w:val="000000"/>
      <w:sz w:val="16"/>
      <w:szCs w:val="16"/>
    </w:rPr>
  </w:style>
  <w:style w:type="paragraph" w:styleId="Xl90" w:customStyle="1">
    <w:name w:val="xl90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both"/>
    </w:pPr>
    <w:rPr>
      <w:rFonts w:ascii="Arial" w:hAnsi="Arial" w:cs="Arial"/>
      <w:i/>
      <w:iCs/>
      <w:color w:val="000000"/>
      <w:sz w:val="16"/>
      <w:szCs w:val="16"/>
    </w:rPr>
  </w:style>
  <w:style w:type="paragraph" w:styleId="Xl91" w:customStyle="1">
    <w:name w:val="xl91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i/>
      <w:iCs/>
      <w:sz w:val="16"/>
      <w:szCs w:val="16"/>
    </w:rPr>
  </w:style>
  <w:style w:type="paragraph" w:styleId="Xl92" w:customStyle="1">
    <w:name w:val="xl92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styleId="Xl93" w:customStyle="1">
    <w:name w:val="xl93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color w:val="000000"/>
      <w:sz w:val="16"/>
      <w:szCs w:val="16"/>
    </w:rPr>
  </w:style>
  <w:style w:type="paragraph" w:styleId="Xl94" w:customStyle="1">
    <w:name w:val="xl94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95" w:customStyle="1">
    <w:name w:val="xl95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both"/>
      <w:textAlignment w:val="top"/>
    </w:pPr>
    <w:rPr>
      <w:rFonts w:ascii="Arial" w:hAnsi="Arial" w:cs="Arial"/>
      <w:i/>
      <w:iCs/>
      <w:sz w:val="16"/>
      <w:szCs w:val="16"/>
    </w:rPr>
  </w:style>
  <w:style w:type="paragraph" w:styleId="Xl96" w:customStyle="1">
    <w:name w:val="xl96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color w:val="000000"/>
      <w:sz w:val="16"/>
      <w:szCs w:val="16"/>
    </w:rPr>
  </w:style>
  <w:style w:type="paragraph" w:styleId="Xl97" w:customStyle="1">
    <w:name w:val="xl97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i/>
      <w:iCs/>
      <w:sz w:val="16"/>
      <w:szCs w:val="16"/>
    </w:rPr>
  </w:style>
  <w:style w:type="paragraph" w:styleId="Xl98" w:customStyle="1">
    <w:name w:val="xl98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styleId="Xl99" w:customStyle="1">
    <w:name w:val="xl99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i/>
      <w:iCs/>
      <w:color w:val="000000"/>
      <w:sz w:val="16"/>
      <w:szCs w:val="16"/>
    </w:rPr>
  </w:style>
  <w:style w:type="paragraph" w:styleId="Xl100" w:customStyle="1">
    <w:name w:val="xl100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sz w:val="16"/>
      <w:szCs w:val="16"/>
    </w:rPr>
  </w:style>
  <w:style w:type="paragraph" w:styleId="Xl101" w:customStyle="1">
    <w:name w:val="xl101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b/>
      <w:bCs/>
      <w:sz w:val="16"/>
      <w:szCs w:val="16"/>
    </w:rPr>
  </w:style>
  <w:style w:type="paragraph" w:styleId="Xl102" w:customStyle="1">
    <w:name w:val="xl102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styleId="Xl103" w:customStyle="1">
    <w:name w:val="xl103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i/>
      <w:iCs/>
      <w:sz w:val="16"/>
      <w:szCs w:val="16"/>
    </w:rPr>
  </w:style>
  <w:style w:type="paragraph" w:styleId="Xl104" w:customStyle="1">
    <w:name w:val="xl104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styleId="Xl105" w:customStyle="1">
    <w:name w:val="xl105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106" w:customStyle="1">
    <w:name w:val="xl106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i/>
      <w:iCs/>
      <w:sz w:val="16"/>
      <w:szCs w:val="16"/>
    </w:rPr>
  </w:style>
  <w:style w:type="paragraph" w:styleId="Xl107" w:customStyle="1">
    <w:name w:val="xl107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108" w:customStyle="1">
    <w:name w:val="xl108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sz w:val="16"/>
      <w:szCs w:val="16"/>
    </w:rPr>
  </w:style>
  <w:style w:type="paragraph" w:styleId="Xl109" w:customStyle="1">
    <w:name w:val="xl109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both"/>
    </w:pPr>
    <w:rPr>
      <w:rFonts w:ascii="Arial" w:hAnsi="Arial" w:cs="Arial"/>
      <w:i/>
      <w:iCs/>
      <w:sz w:val="16"/>
      <w:szCs w:val="16"/>
    </w:rPr>
  </w:style>
  <w:style w:type="paragraph" w:styleId="Xl110" w:customStyle="1">
    <w:name w:val="xl110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both"/>
    </w:pPr>
    <w:rPr>
      <w:rFonts w:ascii="Arial" w:hAnsi="Arial" w:cs="Arial"/>
      <w:sz w:val="16"/>
      <w:szCs w:val="16"/>
    </w:rPr>
  </w:style>
  <w:style w:type="paragraph" w:styleId="Xl111" w:customStyle="1">
    <w:name w:val="xl111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both"/>
    </w:pPr>
    <w:rPr>
      <w:rFonts w:ascii="Arial" w:hAnsi="Arial" w:cs="Arial"/>
      <w:b/>
      <w:bCs/>
      <w:i/>
      <w:iCs/>
      <w:color w:val="000000"/>
      <w:sz w:val="16"/>
      <w:szCs w:val="16"/>
    </w:rPr>
  </w:style>
  <w:style w:type="paragraph" w:styleId="Xl112" w:customStyle="1">
    <w:name w:val="xl112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b/>
      <w:bCs/>
      <w:i/>
      <w:iCs/>
      <w:sz w:val="16"/>
      <w:szCs w:val="16"/>
    </w:rPr>
  </w:style>
  <w:style w:type="paragraph" w:styleId="Xl113" w:customStyle="1">
    <w:name w:val="xl113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114" w:customStyle="1">
    <w:name w:val="xl114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i/>
      <w:iCs/>
      <w:sz w:val="16"/>
      <w:szCs w:val="16"/>
    </w:rPr>
  </w:style>
  <w:style w:type="paragraph" w:styleId="Xl115" w:customStyle="1">
    <w:name w:val="xl115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116" w:customStyle="1">
    <w:name w:val="xl116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styleId="Xl117" w:customStyle="1">
    <w:name w:val="xl117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top"/>
    </w:pPr>
    <w:rPr>
      <w:color w:val="000000"/>
      <w:sz w:val="16"/>
      <w:szCs w:val="16"/>
    </w:rPr>
  </w:style>
  <w:style w:type="paragraph" w:styleId="Xl118" w:customStyle="1">
    <w:name w:val="xl118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styleId="Xl119" w:customStyle="1">
    <w:name w:val="xl119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b/>
      <w:bCs/>
      <w:color w:val="000000"/>
      <w:sz w:val="16"/>
      <w:szCs w:val="16"/>
    </w:rPr>
  </w:style>
  <w:style w:type="paragraph" w:styleId="Xl120" w:customStyle="1">
    <w:name w:val="xl120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top"/>
    </w:pPr>
    <w:rPr>
      <w:rFonts w:ascii="Arial" w:hAnsi="Arial" w:cs="Arial"/>
      <w:color w:val="000000"/>
      <w:sz w:val="24"/>
      <w:szCs w:val="24"/>
    </w:rPr>
  </w:style>
  <w:style w:type="paragraph" w:styleId="Xl121" w:customStyle="1">
    <w:name w:val="xl121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top"/>
    </w:pPr>
    <w:rPr>
      <w:color w:val="000000"/>
      <w:sz w:val="24"/>
      <w:szCs w:val="24"/>
    </w:rPr>
  </w:style>
  <w:style w:type="paragraph" w:styleId="Xl122" w:customStyle="1">
    <w:name w:val="xl122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b/>
      <w:bCs/>
      <w:i/>
      <w:iCs/>
      <w:sz w:val="24"/>
      <w:szCs w:val="24"/>
    </w:rPr>
  </w:style>
  <w:style w:type="paragraph" w:styleId="Xl123" w:customStyle="1">
    <w:name w:val="xl123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b/>
      <w:bCs/>
      <w:i/>
      <w:iCs/>
      <w:sz w:val="16"/>
      <w:szCs w:val="16"/>
    </w:rPr>
  </w:style>
  <w:style w:type="paragraph" w:styleId="Xl124" w:customStyle="1">
    <w:name w:val="xl124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b/>
      <w:bCs/>
      <w:sz w:val="16"/>
      <w:szCs w:val="16"/>
    </w:rPr>
  </w:style>
  <w:style w:type="paragraph" w:styleId="Xl125" w:customStyle="1">
    <w:name w:val="xl125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126" w:customStyle="1">
    <w:name w:val="xl126"/>
    <w:basedOn w:val="Normal"/>
    <w:uiPriority w:val="99"/>
    <w:qFormat/>
    <w:rsid w:val="009a6b70"/>
    <w:pPr>
      <w:spacing w:beforeAutospacing="1" w:afterAutospacing="1"/>
    </w:pPr>
    <w:rPr>
      <w:rFonts w:ascii="Arial" w:hAnsi="Arial" w:cs="Arial"/>
      <w:sz w:val="24"/>
      <w:szCs w:val="24"/>
    </w:rPr>
  </w:style>
  <w:style w:type="paragraph" w:styleId="Xl127" w:customStyle="1">
    <w:name w:val="xl127"/>
    <w:basedOn w:val="Normal"/>
    <w:uiPriority w:val="99"/>
    <w:qFormat/>
    <w:rsid w:val="009a6b70"/>
    <w:pPr>
      <w:spacing w:beforeAutospacing="1" w:afterAutospacing="1"/>
    </w:pPr>
    <w:rPr>
      <w:rFonts w:ascii="Arial" w:hAnsi="Arial" w:cs="Arial"/>
      <w:sz w:val="16"/>
      <w:szCs w:val="16"/>
    </w:rPr>
  </w:style>
  <w:style w:type="paragraph" w:styleId="Xl128" w:customStyle="1">
    <w:name w:val="xl128"/>
    <w:basedOn w:val="Normal"/>
    <w:uiPriority w:val="99"/>
    <w:qFormat/>
    <w:rsid w:val="009a6b70"/>
    <w:pPr>
      <w:spacing w:beforeAutospacing="1" w:afterAutospacing="1"/>
    </w:pPr>
    <w:rPr>
      <w:rFonts w:ascii="Arial" w:hAnsi="Arial" w:cs="Arial"/>
      <w:i/>
      <w:iCs/>
      <w:sz w:val="16"/>
      <w:szCs w:val="16"/>
    </w:rPr>
  </w:style>
  <w:style w:type="paragraph" w:styleId="Xl129" w:customStyle="1">
    <w:name w:val="xl129"/>
    <w:basedOn w:val="Normal"/>
    <w:uiPriority w:val="99"/>
    <w:qFormat/>
    <w:rsid w:val="009a6b70"/>
    <w:pP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130" w:customStyle="1">
    <w:name w:val="xl130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styleId="Xl131" w:customStyle="1">
    <w:name w:val="xl131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top"/>
    </w:pPr>
    <w:rPr>
      <w:b/>
      <w:bCs/>
      <w:sz w:val="16"/>
      <w:szCs w:val="16"/>
    </w:rPr>
  </w:style>
  <w:style w:type="paragraph" w:styleId="Xl132" w:customStyle="1">
    <w:name w:val="xl132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top"/>
    </w:pPr>
    <w:rPr>
      <w:b/>
      <w:bCs/>
      <w:sz w:val="16"/>
      <w:szCs w:val="16"/>
    </w:rPr>
  </w:style>
  <w:style w:type="paragraph" w:styleId="Xl133" w:customStyle="1">
    <w:name w:val="xl133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top"/>
    </w:pPr>
    <w:rPr>
      <w:b/>
      <w:bCs/>
      <w:sz w:val="16"/>
      <w:szCs w:val="16"/>
    </w:rPr>
  </w:style>
  <w:style w:type="paragraph" w:styleId="Xl134" w:customStyle="1">
    <w:name w:val="xl134"/>
    <w:basedOn w:val="Normal"/>
    <w:uiPriority w:val="99"/>
    <w:qFormat/>
    <w:rsid w:val="009a6b70"/>
    <w:pPr>
      <w:spacing w:beforeAutospacing="1" w:afterAutospacing="1"/>
    </w:pPr>
    <w:rPr>
      <w:rFonts w:ascii="Arial" w:hAnsi="Arial" w:cs="Arial"/>
      <w:sz w:val="16"/>
      <w:szCs w:val="16"/>
    </w:rPr>
  </w:style>
  <w:style w:type="paragraph" w:styleId="Xl135" w:customStyle="1">
    <w:name w:val="xl135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styleId="Xl136" w:customStyle="1">
    <w:name w:val="xl136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8"/>
      <w:szCs w:val="18"/>
    </w:rPr>
  </w:style>
  <w:style w:type="paragraph" w:styleId="Xl137" w:customStyle="1">
    <w:name w:val="xl137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both"/>
      <w:textAlignment w:val="top"/>
    </w:pPr>
    <w:rPr>
      <w:rFonts w:ascii="Arial" w:hAnsi="Arial" w:cs="Arial"/>
      <w:sz w:val="16"/>
      <w:szCs w:val="16"/>
    </w:rPr>
  </w:style>
  <w:style w:type="paragraph" w:styleId="Xl138" w:customStyle="1">
    <w:name w:val="xl138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i/>
      <w:iCs/>
      <w:color w:val="000000"/>
      <w:sz w:val="16"/>
      <w:szCs w:val="16"/>
    </w:rPr>
  </w:style>
  <w:style w:type="paragraph" w:styleId="Xl139" w:customStyle="1">
    <w:name w:val="xl139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top"/>
    </w:pPr>
    <w:rPr>
      <w:rFonts w:ascii="Arial" w:hAnsi="Arial" w:cs="Arial"/>
      <w:sz w:val="16"/>
      <w:szCs w:val="16"/>
    </w:rPr>
  </w:style>
  <w:style w:type="paragraph" w:styleId="Xl140" w:customStyle="1">
    <w:name w:val="xl140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i/>
      <w:iCs/>
      <w:sz w:val="16"/>
      <w:szCs w:val="16"/>
    </w:rPr>
  </w:style>
  <w:style w:type="paragraph" w:styleId="Xl141" w:customStyle="1">
    <w:name w:val="xl141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both"/>
    </w:pPr>
    <w:rPr>
      <w:rFonts w:ascii="Arial" w:hAnsi="Arial" w:cs="Arial"/>
      <w:i/>
      <w:iCs/>
      <w:sz w:val="16"/>
      <w:szCs w:val="16"/>
    </w:rPr>
  </w:style>
  <w:style w:type="paragraph" w:styleId="Xl142" w:customStyle="1">
    <w:name w:val="xl142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top"/>
    </w:pPr>
    <w:rPr>
      <w:rFonts w:ascii="Arial" w:hAnsi="Arial" w:cs="Arial"/>
      <w:b/>
      <w:bCs/>
      <w:i/>
      <w:iCs/>
      <w:color w:val="000000"/>
      <w:sz w:val="16"/>
      <w:szCs w:val="16"/>
    </w:rPr>
  </w:style>
  <w:style w:type="paragraph" w:styleId="Xl143" w:customStyle="1">
    <w:name w:val="xl143"/>
    <w:basedOn w:val="Normal"/>
    <w:uiPriority w:val="99"/>
    <w:qFormat/>
    <w:rsid w:val="009a6b70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jc w:val="both"/>
      <w:textAlignment w:val="top"/>
    </w:pPr>
    <w:rPr>
      <w:rFonts w:ascii="Arial" w:hAnsi="Arial" w:cs="Arial"/>
      <w:i/>
      <w:iCs/>
      <w:sz w:val="16"/>
      <w:szCs w:val="16"/>
    </w:rPr>
  </w:style>
  <w:style w:type="paragraph" w:styleId="Xl144" w:customStyle="1">
    <w:name w:val="xl144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top"/>
    </w:pPr>
    <w:rPr>
      <w:b/>
      <w:bCs/>
      <w:sz w:val="16"/>
      <w:szCs w:val="16"/>
    </w:rPr>
  </w:style>
  <w:style w:type="paragraph" w:styleId="Xl145" w:customStyle="1">
    <w:name w:val="xl145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b/>
      <w:bCs/>
      <w:i/>
      <w:iCs/>
      <w:sz w:val="16"/>
      <w:szCs w:val="16"/>
    </w:rPr>
  </w:style>
  <w:style w:type="paragraph" w:styleId="Xl146" w:customStyle="1">
    <w:name w:val="xl146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top"/>
    </w:pPr>
    <w:rPr>
      <w:rFonts w:ascii="Arial" w:hAnsi="Arial" w:cs="Arial"/>
      <w:b/>
      <w:bCs/>
      <w:color w:val="000000"/>
      <w:sz w:val="16"/>
      <w:szCs w:val="16"/>
    </w:rPr>
  </w:style>
  <w:style w:type="paragraph" w:styleId="Xl147" w:customStyle="1">
    <w:name w:val="xl147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sz w:val="18"/>
      <w:szCs w:val="18"/>
    </w:rPr>
  </w:style>
  <w:style w:type="paragraph" w:styleId="Xl148" w:customStyle="1">
    <w:name w:val="xl148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8"/>
      <w:szCs w:val="18"/>
    </w:rPr>
  </w:style>
  <w:style w:type="paragraph" w:styleId="Xl149" w:customStyle="1">
    <w:name w:val="xl149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b/>
      <w:bCs/>
      <w:i/>
      <w:iCs/>
      <w:color w:val="000000"/>
      <w:sz w:val="16"/>
      <w:szCs w:val="16"/>
    </w:rPr>
  </w:style>
  <w:style w:type="paragraph" w:styleId="Xl150" w:customStyle="1">
    <w:name w:val="xl150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top"/>
    </w:pPr>
    <w:rPr>
      <w:i/>
      <w:iCs/>
      <w:sz w:val="16"/>
      <w:szCs w:val="16"/>
    </w:rPr>
  </w:style>
  <w:style w:type="paragraph" w:styleId="Xl151" w:customStyle="1">
    <w:name w:val="xl151"/>
    <w:basedOn w:val="Normal"/>
    <w:uiPriority w:val="99"/>
    <w:qFormat/>
    <w:rsid w:val="009a6b70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i/>
      <w:iCs/>
      <w:sz w:val="24"/>
      <w:szCs w:val="24"/>
    </w:rPr>
  </w:style>
  <w:style w:type="paragraph" w:styleId="Xl152" w:customStyle="1">
    <w:name w:val="xl152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153" w:customStyle="1">
    <w:name w:val="xl153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sz w:val="18"/>
      <w:szCs w:val="18"/>
    </w:rPr>
  </w:style>
  <w:style w:type="paragraph" w:styleId="Xl154" w:customStyle="1">
    <w:name w:val="xl154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top"/>
    </w:pPr>
    <w:rPr>
      <w:rFonts w:ascii="Arial" w:hAnsi="Arial" w:cs="Arial"/>
      <w:i/>
      <w:iCs/>
      <w:sz w:val="16"/>
      <w:szCs w:val="16"/>
    </w:rPr>
  </w:style>
  <w:style w:type="paragraph" w:styleId="Xl155" w:customStyle="1">
    <w:name w:val="xl155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color w:val="000000"/>
      <w:sz w:val="18"/>
      <w:szCs w:val="18"/>
    </w:rPr>
  </w:style>
  <w:style w:type="paragraph" w:styleId="Xl156" w:customStyle="1">
    <w:name w:val="xl156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both"/>
    </w:pPr>
    <w:rPr>
      <w:rFonts w:ascii="Arial" w:hAnsi="Arial" w:cs="Arial"/>
      <w:b/>
      <w:bCs/>
      <w:color w:val="000000"/>
      <w:sz w:val="16"/>
      <w:szCs w:val="16"/>
    </w:rPr>
  </w:style>
  <w:style w:type="paragraph" w:styleId="Xl157" w:customStyle="1">
    <w:name w:val="xl157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styleId="Xl158" w:customStyle="1">
    <w:name w:val="xl158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sz w:val="16"/>
      <w:szCs w:val="16"/>
    </w:rPr>
  </w:style>
  <w:style w:type="paragraph" w:styleId="Font8" w:customStyle="1">
    <w:name w:val="font8"/>
    <w:basedOn w:val="Normal"/>
    <w:uiPriority w:val="99"/>
    <w:qFormat/>
    <w:rsid w:val="009a6b70"/>
    <w:pPr>
      <w:spacing w:beforeAutospacing="1" w:afterAutospacing="1"/>
    </w:pPr>
    <w:rPr>
      <w:rFonts w:ascii="Arial" w:hAnsi="Arial" w:cs="Arial"/>
    </w:rPr>
  </w:style>
  <w:style w:type="paragraph" w:styleId="Font9" w:customStyle="1">
    <w:name w:val="font9"/>
    <w:basedOn w:val="Normal"/>
    <w:uiPriority w:val="99"/>
    <w:qFormat/>
    <w:rsid w:val="009a6b70"/>
    <w:pPr>
      <w:spacing w:beforeAutospacing="1" w:afterAutospacing="1"/>
    </w:pPr>
    <w:rPr>
      <w:rFonts w:ascii="Arial" w:hAnsi="Arial" w:cs="Arial"/>
      <w:sz w:val="24"/>
      <w:szCs w:val="24"/>
    </w:rPr>
  </w:style>
  <w:style w:type="paragraph" w:styleId="Xl159" w:customStyle="1">
    <w:name w:val="xl159"/>
    <w:basedOn w:val="Normal"/>
    <w:uiPriority w:val="99"/>
    <w:qFormat/>
    <w:rsid w:val="00c8257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b/>
      <w:bCs/>
      <w:sz w:val="18"/>
      <w:szCs w:val="18"/>
    </w:rPr>
  </w:style>
  <w:style w:type="paragraph" w:styleId="Xl160" w:customStyle="1">
    <w:name w:val="xl160"/>
    <w:basedOn w:val="Normal"/>
    <w:uiPriority w:val="99"/>
    <w:qFormat/>
    <w:rsid w:val="00c8257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top"/>
    </w:pPr>
    <w:rPr>
      <w:rFonts w:ascii="Arial" w:hAnsi="Arial" w:cs="Arial"/>
      <w:i/>
      <w:iCs/>
      <w:sz w:val="16"/>
      <w:szCs w:val="16"/>
    </w:rPr>
  </w:style>
  <w:style w:type="paragraph" w:styleId="Xl161" w:customStyle="1">
    <w:name w:val="xl161"/>
    <w:basedOn w:val="Normal"/>
    <w:uiPriority w:val="99"/>
    <w:qFormat/>
    <w:rsid w:val="00c8257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sz w:val="16"/>
      <w:szCs w:val="16"/>
    </w:rPr>
  </w:style>
  <w:style w:type="paragraph" w:styleId="Xl162" w:customStyle="1">
    <w:name w:val="xl162"/>
    <w:basedOn w:val="Normal"/>
    <w:uiPriority w:val="99"/>
    <w:qFormat/>
    <w:rsid w:val="00c8257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00"/>
      <w:spacing w:beforeAutospacing="1" w:afterAutospacing="1"/>
      <w:jc w:val="center"/>
    </w:pPr>
    <w:rPr>
      <w:sz w:val="16"/>
      <w:szCs w:val="16"/>
    </w:rPr>
  </w:style>
  <w:style w:type="paragraph" w:styleId="Xl163" w:customStyle="1">
    <w:name w:val="xl163"/>
    <w:basedOn w:val="Normal"/>
    <w:uiPriority w:val="99"/>
    <w:qFormat/>
    <w:rsid w:val="00c8257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center"/>
      <w:textAlignment w:val="top"/>
    </w:pPr>
    <w:rPr>
      <w:b/>
      <w:bCs/>
      <w:sz w:val="16"/>
      <w:szCs w:val="16"/>
    </w:rPr>
  </w:style>
  <w:style w:type="paragraph" w:styleId="Xl164" w:customStyle="1">
    <w:name w:val="xl164"/>
    <w:basedOn w:val="Normal"/>
    <w:uiPriority w:val="99"/>
    <w:qFormat/>
    <w:rsid w:val="00c8257b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top"/>
    </w:pPr>
    <w:rPr>
      <w:b/>
      <w:bCs/>
      <w:sz w:val="16"/>
      <w:szCs w:val="16"/>
    </w:rPr>
  </w:style>
  <w:style w:type="paragraph" w:styleId="Xl165" w:customStyle="1">
    <w:name w:val="xl165"/>
    <w:basedOn w:val="Normal"/>
    <w:uiPriority w:val="99"/>
    <w:qFormat/>
    <w:rsid w:val="00c8257b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top"/>
    </w:pPr>
    <w:rPr>
      <w:b/>
      <w:bCs/>
      <w:sz w:val="16"/>
      <w:szCs w:val="16"/>
    </w:rPr>
  </w:style>
  <w:style w:type="paragraph" w:styleId="Xl166" w:customStyle="1">
    <w:name w:val="xl166"/>
    <w:basedOn w:val="Normal"/>
    <w:uiPriority w:val="99"/>
    <w:qFormat/>
    <w:rsid w:val="00c8257b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top"/>
    </w:pPr>
    <w:rPr>
      <w:b/>
      <w:bCs/>
      <w:sz w:val="16"/>
      <w:szCs w:val="16"/>
    </w:rPr>
  </w:style>
  <w:style w:type="paragraph" w:styleId="Xl167" w:customStyle="1">
    <w:name w:val="xl167"/>
    <w:basedOn w:val="Normal"/>
    <w:uiPriority w:val="99"/>
    <w:qFormat/>
    <w:rsid w:val="00c8257b"/>
    <w:pPr>
      <w:spacing w:beforeAutospacing="1" w:afterAutospacing="1"/>
      <w:textAlignment w:val="top"/>
    </w:pPr>
    <w:rPr>
      <w:sz w:val="16"/>
      <w:szCs w:val="16"/>
    </w:rPr>
  </w:style>
  <w:style w:type="paragraph" w:styleId="Xl168" w:customStyle="1">
    <w:name w:val="xl168"/>
    <w:basedOn w:val="Normal"/>
    <w:uiPriority w:val="99"/>
    <w:qFormat/>
    <w:rsid w:val="00c8257b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top"/>
    </w:pPr>
    <w:rPr>
      <w:b/>
      <w:bCs/>
      <w:sz w:val="16"/>
      <w:szCs w:val="16"/>
    </w:rPr>
  </w:style>
  <w:style w:type="paragraph" w:styleId="Xl169" w:customStyle="1">
    <w:name w:val="xl169"/>
    <w:basedOn w:val="Normal"/>
    <w:uiPriority w:val="99"/>
    <w:qFormat/>
    <w:rsid w:val="00c8257b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top"/>
    </w:pPr>
    <w:rPr>
      <w:b/>
      <w:bCs/>
      <w:sz w:val="16"/>
      <w:szCs w:val="16"/>
    </w:rPr>
  </w:style>
  <w:style w:type="paragraph" w:styleId="Msonormalcxspmiddle" w:customStyle="1">
    <w:name w:val="msonormalcxspmiddle"/>
    <w:basedOn w:val="Normal"/>
    <w:uiPriority w:val="99"/>
    <w:qFormat/>
    <w:rsid w:val="00552dbd"/>
    <w:pPr>
      <w:spacing w:beforeAutospacing="1" w:afterAutospacing="1"/>
    </w:pPr>
    <w:rPr>
      <w:sz w:val="24"/>
      <w:szCs w:val="24"/>
    </w:rPr>
  </w:style>
  <w:style w:type="paragraph" w:styleId="Style24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3">
    <w:name w:val="Table Grid"/>
    <w:basedOn w:val="a1"/>
    <w:uiPriority w:val="99"/>
    <w:rsid w:val="005f4d24"/>
    <w:rPr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77B86-0041-4189-8D40-42833DEAB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6510</TotalTime>
  <Application>LibreOffice/5.3.2.2$Windows_x86 LibreOffice_project/6cd4f1ef626f15116896b1d8e1398b56da0d0ee1</Application>
  <Pages>39</Pages>
  <Words>22960</Words>
  <Characters>148425</Characters>
  <CharactersWithSpaces>167038</CharactersWithSpaces>
  <Paragraphs>7238</Paragraphs>
  <Company>gufo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2014-10-28T18:21:00Z</dcterms:created>
  <dc:creator>terenga</dc:creator>
  <dc:description/>
  <dc:language>ru-RU</dc:language>
  <cp:lastModifiedBy/>
  <cp:lastPrinted>2023-04-21T12:13:00Z</cp:lastPrinted>
  <dcterms:modified xsi:type="dcterms:W3CDTF">2023-05-03T08:55:15Z</dcterms:modified>
  <cp:revision>217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gufo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