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cs="Times New Roman" w:ascii="Times New Roman" w:hAnsi="Times New Roman"/>
          <w:b/>
          <w:bCs/>
          <w:smallCaps/>
          <w:sz w:val="28"/>
          <w:szCs w:val="28"/>
        </w:rPr>
        <w:t>СОВЕТ ДЕПУТАТОВ МУНИЦИПАЛЬНОГО ОБРАЗОВАНИЯ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cs="Times New Roman" w:ascii="Times New Roman" w:hAnsi="Times New Roman"/>
          <w:b/>
          <w:bCs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cs="Times New Roman" w:ascii="Times New Roman" w:hAnsi="Times New Roman"/>
          <w:b/>
          <w:bCs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20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Cs/>
          <w:spacing w:val="144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44"/>
          <w:sz w:val="28"/>
          <w:szCs w:val="28"/>
        </w:rPr>
        <w:t>РЕШЕНИЕ</w:t>
      </w:r>
    </w:p>
    <w:tbl>
      <w:tblPr>
        <w:tblW w:w="941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0"/>
        <w:gridCol w:w="6053"/>
      </w:tblGrid>
      <w:tr>
        <w:trPr>
          <w:trHeight w:val="567" w:hRule="atLeast"/>
        </w:trPr>
        <w:tc>
          <w:tcPr>
            <w:tcW w:w="3360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марта 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53" w:type="dxa"/>
            <w:tcBorders/>
            <w:vAlign w:val="bottom"/>
          </w:tcPr>
          <w:p>
            <w:pPr>
              <w:pStyle w:val="Normal"/>
              <w:snapToGrid w:val="false"/>
              <w:jc w:val="e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20/08</w:t>
            </w:r>
          </w:p>
        </w:tc>
      </w:tr>
      <w:tr>
        <w:trPr>
          <w:trHeight w:val="567" w:hRule="atLeast"/>
        </w:trPr>
        <w:tc>
          <w:tcPr>
            <w:tcW w:w="9413" w:type="dxa"/>
            <w:gridSpan w:val="2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Экз.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р.п. Тереньга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отчёте Главы администрации муниципального образования «Тереньгульский район» по итогам социально-экономического развития муниципального образования «Тереньгульский район» за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пунктом 2 части 6.1 статьи 37 Федерального закона от 06.10.2003 № 131-ФЗ  «Об общих принципах организации местного самоуправления в Российской Федерации», заслушав отчёт Главы администрации муниципального образования «Тереньгульский район» по итогам социально-экономического развития муниципального образования «Тереньгульский район» за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Совет депутатов муниципального образования «Тереньгульский район» решил: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1.Отчёт Главы администрации муниципального образования «Тереньгульский район» по итогам социально-экономического развития муниципального образования «Тереньгульский район» за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принять к сведению.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2.Деятельность Главы администрации муниципального образования «Тереньгульский район» за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оценить как удовлетворительную.</w:t>
      </w:r>
    </w:p>
    <w:p>
      <w:pPr>
        <w:pStyle w:val="ConsPlusNormal"/>
        <w:widowControl/>
        <w:suppressAutoHyphens w:val="true"/>
        <w:bidi w:val="0"/>
        <w:snapToGrid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«Тереньгульский район» </w:t>
        <w:tab/>
        <w:tab/>
        <w:t xml:space="preserve">         </w:t>
        <w:tab/>
        <w:tab/>
        <w:tab/>
        <w:t xml:space="preserve">                          П.А.Иванов</w:t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04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tbl>
      <w:tblPr>
        <w:tblW w:w="974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34"/>
        <w:gridCol w:w="3235"/>
        <w:gridCol w:w="3275"/>
      </w:tblGrid>
      <w:tr>
        <w:trPr/>
        <w:tc>
          <w:tcPr>
            <w:tcW w:w="3234" w:type="dxa"/>
            <w:tcBorders/>
          </w:tcPr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3235" w:type="dxa"/>
            <w:tcBorders/>
          </w:tcPr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>Приложение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 xml:space="preserve">к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решени</w:t>
            </w: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>ю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Совета депутатов муниципального образования «Тереньгульский район </w:t>
            </w:r>
          </w:p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 2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.0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.202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№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20/08</w:t>
            </w:r>
          </w:p>
        </w:tc>
      </w:tr>
    </w:tbl>
    <w:p>
      <w:pPr>
        <w:pStyle w:val="Normal"/>
        <w:spacing w:lineRule="auto" w:line="204"/>
        <w:jc w:val="center"/>
        <w:rPr/>
      </w:pPr>
      <w:r>
        <w:rPr/>
      </w:r>
    </w:p>
    <w:p>
      <w:pPr>
        <w:pStyle w:val="Normal"/>
        <w:spacing w:lineRule="auto" w:line="204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Отчёт Главы администрации муниципального образования «Тереньгульский район» по итогам социально-экономического развития муниципального образования «Тереньгульский район» за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sz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Сегодня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я хочу представить вам доклад по итогам социально-экономического развития муниципального образования "Тереньгульский район" за 2024 год. Этот год был объявлен Годом Семьи, что стало важным событием для нашего района и всей страны. В рамках этой инициативы мы стремились укрепить семейные ценности, поддержать семьи в их развитии и создать условия для повышения качества жизни.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color w:val="000000"/>
          <w:sz w:val="28"/>
          <w:shd w:fill="FFFFFF" w:val="clear"/>
          <w:lang w:val="en-US"/>
        </w:rPr>
        <w:t xml:space="preserve">8 </w:t>
      </w: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 xml:space="preserve">июля, в городе Ульяновск, прошло областное мероприятие, посвященное Дню семьи, любви и верности. В рамках данного мероприятия, проходило чествование семей, проживших в браке 25 и более лет. Среди награжденных общественной медалью </w:t>
      </w:r>
      <w:r>
        <w:rPr>
          <w:rFonts w:ascii="PT Astra Serif" w:hAnsi="PT Astra Serif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>За любовь и верность</w:t>
      </w:r>
      <w:r>
        <w:rPr>
          <w:rFonts w:ascii="PT Astra Serif" w:hAnsi="PT Astra Serif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 xml:space="preserve">супруги из Тереньгульского района Кургановы Сергей Александрович и Ирина Викторовна.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 xml:space="preserve">В канун этого праздника на районном мероприятии, приуроченному этому дню, общественной медалью </w:t>
      </w:r>
      <w:r>
        <w:rPr>
          <w:rFonts w:ascii="PT Astra Serif" w:hAnsi="PT Astra Serif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>За любовь и верность</w:t>
      </w:r>
      <w:r>
        <w:rPr>
          <w:rFonts w:ascii="PT Astra Serif" w:hAnsi="PT Astra Serif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color w:val="000000"/>
          <w:sz w:val="28"/>
          <w:shd w:fill="FFFFFF" w:val="clear"/>
          <w:lang w:val="ru-RU"/>
        </w:rPr>
        <w:t>была удостоена семья Спиридоновых Сергея Васильевича и Нины Михайловны. Мы гордимся семьями!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color w:val="auto"/>
          <w:sz w:val="28"/>
          <w:lang w:val="ru-RU"/>
        </w:rPr>
        <w:t>Одним из ключевых аспектов нашего социально-экономического развития в 2024 году стало внимание к вопросам социальной поддержки и улучшения жизненных условий для семей. Мы реализовали ряд программ, направленных на помощь многодетным и малообеспеченным семьям, что способствовало повышению уровня их благосостояния. Важно отметить, что в условиях текущей специальной военной операции, мы также уделяли особое внимание поддержке семей военнослужащих.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Тереньгульский район, как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все районы, города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области, оказывает содействие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помощь военнослужащим, находящимся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зоне СВО. На территории района созданы два волонтерских центра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Тереньга. Своих не бросаем</w:t>
      </w:r>
      <w:r>
        <w:rPr>
          <w:rFonts w:ascii="PT Astra Serif" w:hAnsi="PT Astra Serif"/>
          <w:b w:val="false"/>
          <w:color w:val="auto"/>
          <w:sz w:val="28"/>
          <w:lang w:val="en-US"/>
        </w:rPr>
        <w:t>», «V</w:t>
      </w:r>
      <w:r>
        <w:rPr>
          <w:rFonts w:ascii="PT Astra Serif" w:hAnsi="PT Astra Serif"/>
          <w:b w:val="false"/>
          <w:color w:val="auto"/>
          <w:sz w:val="28"/>
          <w:lang w:val="ru-RU"/>
        </w:rPr>
        <w:t>месте мы сила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инициаторами которых являются Воробьев Александр Анатольевич и Назарова Вера Борисовна.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С октября 2022 года ежемесячно проводится отправка гуманитарной помощи в зону проведения СВО (по 1-3 раза в месяц). На январь 2025 года было организовано более 60 отправлений.</w:t>
      </w:r>
    </w:p>
    <w:p>
      <w:pPr>
        <w:pStyle w:val="Normal"/>
        <w:suppressAutoHyphens w:val="true"/>
        <w:spacing w:lineRule="auto" w:line="24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en-US"/>
        </w:rPr>
        <w:tab/>
      </w:r>
      <w:r>
        <w:rPr>
          <w:rFonts w:ascii="PT Astra Serif" w:hAnsi="PT Astra Serif"/>
          <w:b w:val="false"/>
          <w:color w:val="auto"/>
          <w:sz w:val="28"/>
          <w:lang w:val="ru-RU"/>
        </w:rPr>
        <w:t>Ежемесячно собирается и отправляется 3-5 тонн гуманитарного груза. На январь 2025 года отправлено примерно 112 тонн.</w:t>
      </w:r>
    </w:p>
    <w:p>
      <w:pPr>
        <w:pStyle w:val="Normal"/>
        <w:suppressAutoHyphens w:val="true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Ежемесячно собирается неравнодушными гражданами около 200,0 тыс. рублей в месяц. За период с 2022 по 2024 г.г. собрано более 5 млн. рублей. </w:t>
      </w:r>
    </w:p>
    <w:p>
      <w:pPr>
        <w:pStyle w:val="Normal"/>
        <w:suppressAutoHyphens w:val="true"/>
        <w:spacing w:lineRule="auto" w:line="24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Данные средства идут на закупку материалов для изготовления маскировочных сетей, на ГСМ для отправки автомашин в зону СВО, на приобретение необходимого спец. оборудования, одежды, материала, строительных инструментов и др.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Мобилизованные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заключившие контракт жители Тереньгульского района защищают границы нашей страны, отстаивают ее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право на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независимое существование.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Нами проделана большая работа по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оказанию помощи семьям мобилизованных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заключивших контракт граждан. Сегодня эта работа находится на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постоянном контроле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главная задача органов власти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социальных служб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 —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постоянно быть с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ними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контакте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оперативно решать возникающие проблемы.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Хочу отметить, что прошедшие три года специальной военной операции мобилизовали наше общество. Перед лицом внешней угрозы,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противостоянии с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врагом, под жестоким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беспрецедентным давлением недружественных государств мы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сплотились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вышли на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новый уровень гражданского сознания. Это касается всех сторон нашей жизни. Научились отличать действительно важное от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второстепенного. Ценить самые главные для всех нас вещи. Мужество. Милосердие. Взаимовыручку. Историческую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семейную память. Верность своему долгу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традициям.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Важно помнить о тех, кто отдал свои жизни, защищая Родину.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Их подвиг служит вечным примером мужества и преданности. Мы должны хранить память о героях и передавать её следующим поколениям.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Это наш долг перед теми, кто сражался за мирное небо над головой.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>Прошу почтить память минутой молчания!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Президент РФ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Владимир Путин объявил 2025 год Годом защитника Отечества. Вместе с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ветеранскими организациями, учреждениями, предприятиями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общественностью района готовимся к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80-</w:t>
      </w:r>
      <w:r>
        <w:rPr>
          <w:rFonts w:ascii="PT Astra Serif" w:hAnsi="PT Astra Serif"/>
          <w:b w:val="false"/>
          <w:color w:val="auto"/>
          <w:sz w:val="28"/>
          <w:lang w:val="ru-RU"/>
        </w:rPr>
        <w:t>летию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Великой Победы. К сожалению, у нас не осталось ни одного ветерана – фронтовика, но наша задача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 — </w:t>
      </w:r>
      <w:r>
        <w:rPr>
          <w:rFonts w:ascii="PT Astra Serif" w:hAnsi="PT Astra Serif"/>
          <w:b w:val="false"/>
          <w:color w:val="auto"/>
          <w:sz w:val="28"/>
          <w:lang w:val="ru-RU"/>
        </w:rPr>
        <w:t>уделять особое внимание вдовам ветеранов, труженикам тыла, детям войны и Тереньгульский район, как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вся Ульяновская область, заботится и оказывает им всестороннюю поддержку.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Нашими приоритетами были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остаются социальное благополучие людей, экономическая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общественно-политическая стабильность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обществе.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Большим политическим событием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 2024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году стали выборы Президента Российской Федерации, которые подтвердили взятый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стране курс на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развитие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укрепление благосостояния граждан. Более 8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тысяч жителей района выразили свою гражданскую позицию, приняв участие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этих выборах, а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более 84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процентов от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числа участвующих в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голосовании поддержали действующего Президента Российской Федерации Владимира Владимировича Путина. 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Для понимания, на предыдущих выборах главы государства, в 2018 году проголосовали всего 61,61 % Тереньгульцев, а в 2012 году – 68,2%. </w:t>
      </w:r>
      <w:r>
        <w:rPr>
          <w:rFonts w:ascii="PT Astra Serif" w:hAnsi="PT Astra Serif"/>
          <w:b w:val="false"/>
          <w:color w:val="auto"/>
          <w:sz w:val="28"/>
          <w:lang w:val="ru-RU"/>
        </w:rPr>
        <w:t>Это достойный результат и</w:t>
      </w:r>
      <w:r>
        <w:rPr>
          <w:rFonts w:ascii="PT Astra Serif" w:hAnsi="PT Astra Serif"/>
          <w:b w:val="false"/>
          <w:color w:val="auto"/>
          <w:sz w:val="28"/>
          <w:lang w:val="en-US"/>
        </w:rPr>
        <w:t> 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показатель доверия жителей главе нашего государства.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Несмотря на все сложности, Россия не только успешно справляется с вызовами, но и продолжает уверенно развиваться. Ульяновская область, в свою очередь, также демонстрирует динамичный рост, и наш родной Тереньгульский район не остается в стороне. Благодаря самоотверженному труду и единству жителей нашего муниципалитета, 2024 год оказался для нас успешным. Позвольте мне подчеркнуть ключевые достижения, которые мы смогли реализовать совместными усилиями.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 xml:space="preserve">Как отметил Владимир Путин: </w:t>
      </w:r>
      <w:r>
        <w:rPr>
          <w:rFonts w:ascii="PT Astra Serif" w:hAnsi="PT Astra Serif"/>
          <w:b/>
          <w:color w:val="auto"/>
          <w:sz w:val="28"/>
          <w:lang w:val="en-US"/>
        </w:rPr>
        <w:t>«</w:t>
      </w:r>
      <w:r>
        <w:rPr>
          <w:rFonts w:ascii="PT Astra Serif" w:hAnsi="PT Astra Serif"/>
          <w:b/>
          <w:color w:val="auto"/>
          <w:sz w:val="28"/>
          <w:lang w:val="ru-RU"/>
        </w:rPr>
        <w:t>Все измеряется экономикой… Все на экономике, это основа основ. На этом и жизненный уровень граждан, на этом стабильность, на этом обороноспособность — все на экономике</w:t>
      </w:r>
      <w:r>
        <w:rPr>
          <w:rFonts w:ascii="PT Astra Serif" w:hAnsi="PT Astra Serif"/>
          <w:b/>
          <w:color w:val="auto"/>
          <w:sz w:val="28"/>
          <w:lang w:val="en-US"/>
        </w:rPr>
        <w:t xml:space="preserve">». </w:t>
      </w:r>
      <w:r>
        <w:rPr>
          <w:rFonts w:ascii="PT Astra Serif" w:hAnsi="PT Astra Serif"/>
          <w:b/>
          <w:color w:val="auto"/>
          <w:sz w:val="28"/>
          <w:lang w:val="ru-RU"/>
        </w:rPr>
        <w:t>Эти слова подчеркивают важность экономических показателей для обеспечения стабильного развития нашего района и повышения качества жизни его жителей.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Развитие района идет по программному принципу, у нас в районе работают и обеспечены финансированием 24 программы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. На их реализацию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направлено 378,9 млн. рублей.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 консолидированный бюджет муниципального образования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за 2024 год поступило 628,8 млн. рублей. В том числе по собственным доходным источникам размер поступивших средств составил 99,8 млн. рублей. В сравнении с предыдущим годом увеличение доходной части составило 18,7% или получено больше на 15,7 млн. руб. По-прежнему наибольший удельный вес структуре собственных доходных источников занимает налог на доходы физических лиц и составил 43,9%, акцизы на нефтепродукты 16,8%, а также неналоговые доходы - 15,9%. В 2024 году отмечен значительный рост поступлений по упрощенной системе налогообложения, исполнение по которой составило 166,7% к предыдущему году, а также НДФЛ получено больше на 33,5%.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>Но не смотря на положительную динамику по поступлениям собственных доходов, проблемой остается поступления земельного налога в городское и сельские поселения.  Так, в связи с переоценкой кадастровой стоимости земельных участков, находящихся в собственности юридических лиц, за два года городским поселением недополучено около 3 млн. руб., а Подкуровским 1,2 млн. рублей за предыдущий год. В настоящее время работаем над проблемой совместно с Министерством финансов Ульяновской области.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 то же время расходы бюджета по Тереньгульскому району составили </w:t>
      </w:r>
      <w:r>
        <w:rPr>
          <w:rFonts w:ascii="PT Astra Serif" w:hAnsi="PT Astra Serif"/>
          <w:b/>
          <w:color w:val="000000"/>
          <w:sz w:val="28"/>
          <w:lang w:val="ru-RU"/>
        </w:rPr>
        <w:t>627,5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 млн. рублей.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Значительная часть средств, </w:t>
      </w:r>
      <w:r>
        <w:rPr>
          <w:rFonts w:ascii="PT Astra Serif" w:hAnsi="PT Astra Serif"/>
          <w:b/>
          <w:color w:val="000000"/>
          <w:sz w:val="28"/>
          <w:lang w:val="ru-RU"/>
        </w:rPr>
        <w:t>437,4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 млн. рублей (</w:t>
      </w:r>
      <w:r>
        <w:rPr>
          <w:rFonts w:ascii="PT Astra Serif" w:hAnsi="PT Astra Serif"/>
          <w:b/>
          <w:color w:val="000000"/>
          <w:sz w:val="28"/>
          <w:lang w:val="ru-RU"/>
        </w:rPr>
        <w:t>69,7%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), израсходована на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 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социально значимые направления.</w:t>
      </w:r>
    </w:p>
    <w:p>
      <w:pPr>
        <w:pStyle w:val="Normal"/>
        <w:suppressAutoHyphens w:val="true"/>
        <w:spacing w:lineRule="auto" w:line="240" w:before="57" w:after="57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>Эффективное</w:t>
      </w:r>
      <w:r>
        <w:rPr>
          <w:rFonts w:ascii="PT Astra Serif" w:hAnsi="PT Astra Serif"/>
          <w:b/>
          <w:color w:val="auto"/>
          <w:sz w:val="28"/>
          <w:lang w:val="en-US"/>
        </w:rPr>
        <w:t> </w:t>
      </w:r>
      <w:r>
        <w:rPr>
          <w:rFonts w:ascii="PT Astra Serif" w:hAnsi="PT Astra Serif"/>
          <w:b/>
          <w:color w:val="auto"/>
          <w:sz w:val="28"/>
          <w:lang w:val="ru-RU"/>
        </w:rPr>
        <w:t>управление и распоряжение земельными ресурсами и муниципальным имуществом, так же</w:t>
      </w:r>
      <w:r>
        <w:rPr>
          <w:rFonts w:ascii="PT Astra Serif" w:hAnsi="PT Astra Serif"/>
          <w:b/>
          <w:color w:val="auto"/>
          <w:sz w:val="28"/>
          <w:lang w:val="en-US"/>
        </w:rPr>
        <w:t> </w:t>
      </w:r>
      <w:r>
        <w:rPr>
          <w:rFonts w:ascii="PT Astra Serif" w:hAnsi="PT Astra Serif"/>
          <w:b/>
          <w:color w:val="auto"/>
          <w:sz w:val="28"/>
          <w:lang w:val="ru-RU"/>
        </w:rPr>
        <w:t xml:space="preserve">является залогом успешного пополнения бюджета.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2024 году заключено 80 договоров купли-продажи земельных участков. В консолидированный бюджет муниципального образования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поступило на 800 тыс. рублей больше, чем планировалось. По договорам аренды - поступило 7,6 млн. рублей, что на 2,3 млн.рублей больше плановых значений.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en-US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2024 году проведена большая работа по землям сельскохозяйственного назначения, расположенным на территории муниципального образования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Михайловское сельское поселение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В результате расторжения договора аренды земельного участка, освободились земельные участки, общей площадью 8, 2 тыс. га. Данные земельные участки на большей площади не использовались по целевому назначению, залесенка составляет 91,8%.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Администрацию муниципального образования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поступило 52 заявления о предоставлении земель сельскохозяйственного назначения в аренду под различные виды сельхозпроизводства. В связи с этим организована работа межведомственной комиссии по обеспечению эффективного вовлечения в оборот земель сельскохозяйственного назначения. По результатам заседаний комиссии даны рекомендации по предоставлению земельных участков. В настоящее время заявители за счёт собственных средств формируют земельные участки для их дальнейшего предоставления в аренду без проведения торгов. Планируется предоставить 4,7-5,0 тыс.га. Данная площадь сформирована, исходя из количества поданных и положительно рассмотренных заявлений. По остальному участку будут объявлены торги.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Кроме того, по данным земельным участкам проведена претензионно-исковая работа в части погашения задолженности по арендной плате. В 2024 году ООО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Бондарская сельскохозяйственная компания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оплатила часть задолженности 3,0 млн. рублей, оставшуюся часть задолженности планируется погасить в 2025 году.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/>
          <w:color w:val="auto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 xml:space="preserve">Сфера малого предпринимательства оказывает существенное влияние на социально-экономическое развитие района. В связи с этим развитие и поддержка малого предпринимательства является одним из основополагающих факторов повышения уровня жизни населения и развития экономики района в целом.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По состоянию на 1 января 2025 года в реестре субъектов малого и среднего предпринимательства (МСП) Федеральной налоговой службы на территории муниципального образования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зарегистрировано 432 субъекта. В течение прошлого года количество зарегистрированных субъектов увеличилось на 4,6%.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рамках реализации национального проекта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Малый и средний бизнес и поддержка индивидуальной предпринимательской инициативы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 территории района активно функционирует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Центр развития предпринимательства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Данная организация предоставляет информационную и образовательную поддержку предпринимателям, с особым акцентом на начинающих.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Наиболее востребованной услугой стал процесс заключения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социального контракта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 открытие собственного дела. 7 самозанятых граждан заключили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социальный контракт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по направлению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Предпринимательская деятельность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на общую сумму свыше 2,3 миллиона рублей. Работа в данном направлении продолжится и в 2025 году.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Ярким примером успешной реализации социального контракта в 2024 году является деятельность Селькова Андрея Геннадьевича из села Белогорское, который занимается столярными работами. Имея многолетний опыт в проектировке и возведении каркасных и брусовых жилых помещений, он успешно применяет свои навыки в работе с деревом. Основные товары – это банная утварь, мебель из массива дерева и входные двери. Финансовая поддержка в виде социального контракта стала хорошим стартом для его бизнеса.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Основным направлением деятельности администрации Тереньгульского района в сфере улучшения социально-демографической ситуации является развитие рынка труда. Важнейшей характеристикой состояния данного рынка является уровень безработицы, который продолжает сокращаться. На 01 января 2025 года уровень безработицы составил 0,32% (22 человека), что является положительной динамикой по сравнению с аналогичным периодом прошлого года, когда он составлял 0,48% (36 человек).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Сохраняется высокий кадровый спрос на рынке труда. В настоящее время заявленная работодателями потребность в работниках составляет 70 человек.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За истекший период при содействии центра занятости населения работу нашли 88 человек, что составляет 49,7% от числа обратившихся.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Наблюдается устойчивый рост уровня оплаты труда. Среднемесячная заработная плата работников организаций за 12 месяцев 2024 года составила 42681,1 рублей, что на 13,8% выше уровня прошлого года (33 949,7 рублей в 2023 году).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Одной из важнейших тенденций текущего года является успешная деятельность и устойчивое развитие промышленных организаций, расположенных на территории района.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За последние три года в Тереньгульском районе особое внимание было уделено реализации программы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ТОЧКИ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7"/>
          <w:lang w:val="ru-RU"/>
        </w:rPr>
        <w:t>Основными направлениями работы стали расширение производства, привлечение инвестиций, создание высокопроизводительных рабочих мест, а также поддержка и развитие агропромышленного комплекса и промышленности.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Более 880 млн. руб вложено собственниками в развитие предприятий.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 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Одной из значимых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Точек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включённых в дорожную карту на 2024 год, стало предприятие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Молвино Агро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которое вносит весомый вклад в развитие Тереньгульского района. В рамках сотрудничества с учредителем,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Щелково Агрохим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достигнута договоренность по развитию материально-технической базы предприятия на 2022-2026 годы.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На текущий момент в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Молвино Агро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>успешно завершены ключевые проекты: приобретены и установлены две современные зерносушилки на сумму более 200 млн. рублей, модернизирован хлебоприемный пункт на сумму более 65 млн. рублей, а также закуплена техника на сумму более 40 млн. рублей. В планах на 2025-2026 годы — приобретение транспортных средств, производственных машин и оборудования, Капитальный ремонт, модернизация и реконструкция производственных мощностей, строительство современной семенной линии с общим объемом инвестиций в размере 1 млрд. рублей</w:t>
      </w:r>
      <w:r>
        <w:rPr>
          <w:rFonts w:ascii="PT Astra Serif" w:hAnsi="PT Astra Serif"/>
          <w:b w:val="false"/>
          <w:color w:val="auto"/>
          <w:sz w:val="28"/>
          <w:lang w:val="ru-RU"/>
        </w:rPr>
        <w:t>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Точки роста, запланированные к развитию в Тереньгульском районе в 2025-2027 годах, будут способствовать созданию устойчивой экономики, улучшению качества жизни жителей и привлечению инвестиций.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en-US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Основные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точки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»:                                                                    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7"/>
          <w:shd w:fill="FFFFFF" w:val="clear"/>
          <w:lang w:val="ru-RU"/>
        </w:rPr>
        <w:t xml:space="preserve">ООО </w:t>
      </w:r>
      <w:r>
        <w:rPr>
          <w:rFonts w:ascii="PT Astra Serif" w:hAnsi="PT Astra Serif"/>
          <w:b/>
          <w:color w:val="000000"/>
          <w:sz w:val="27"/>
          <w:shd w:fill="FFFFFF" w:val="clear"/>
          <w:lang w:val="en-US"/>
        </w:rPr>
        <w:t>«</w:t>
      </w:r>
      <w:r>
        <w:rPr>
          <w:rFonts w:ascii="PT Astra Serif" w:hAnsi="PT Astra Serif"/>
          <w:b/>
          <w:color w:val="000000"/>
          <w:sz w:val="27"/>
          <w:shd w:fill="FFFFFF" w:val="clear"/>
          <w:lang w:val="ru-RU"/>
        </w:rPr>
        <w:t>Магрос</w:t>
      </w:r>
      <w:r>
        <w:rPr>
          <w:rFonts w:ascii="PT Astra Serif" w:hAnsi="PT Astra Serif"/>
          <w:b/>
          <w:color w:val="000000"/>
          <w:sz w:val="27"/>
          <w:shd w:fill="FFFFFF" w:val="clear"/>
          <w:lang w:val="en-US"/>
        </w:rPr>
        <w:t>»</w:t>
      </w:r>
      <w:r>
        <w:rPr>
          <w:rFonts w:ascii="PT Astra Serif" w:hAnsi="PT Astra Serif"/>
          <w:b w:val="false"/>
          <w:color w:val="000000"/>
          <w:sz w:val="27"/>
          <w:shd w:fill="FFFFFF" w:val="clear"/>
          <w:lang w:val="en-US"/>
        </w:rPr>
        <w:t xml:space="preserve"> </w:t>
      </w:r>
      <w:r>
        <w:rPr>
          <w:rFonts w:ascii="PT Astra Serif" w:hAnsi="PT Astra Serif"/>
          <w:b w:val="false"/>
          <w:color w:val="000000"/>
          <w:sz w:val="27"/>
          <w:shd w:fill="FFFFFF" w:val="clear"/>
          <w:lang w:val="ru-RU"/>
        </w:rPr>
        <w:t xml:space="preserve">стал ярким примером стремления к развитию сельского хозяйства и укреплению экономики района. Предприятие начало свою деятельность в 2023 году. Вид деятельности данного предприятия растениеводство. В пользовании находится 2933 га пашни. Весь необходимый набор сельскохозяйственной техники и сельскохозяйственного инвентаря закуплен, объем инвестиций составил более 200,0 млн. рублей.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>В планах данного предприятия: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Строительство современного складского помещения</w:t>
      </w:r>
      <w:r>
        <w:rPr>
          <w:rFonts w:ascii="PT Astra Serif" w:hAnsi="PT Astra Serif"/>
          <w:b w:val="false"/>
          <w:color w:val="auto"/>
          <w:sz w:val="27"/>
          <w:lang w:val="ru-RU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Создание зерноочистительного комплекса.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Введение 450 га земель сельскохозяйственного назначения в оборот.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Модернизация базы (газификация).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en-US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В июне 2023 года на территории муниципального образования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Ясашноташлинское сельское поселение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было открыто промышленное предприятие </w:t>
      </w:r>
      <w:r>
        <w:rPr>
          <w:rFonts w:ascii="PT Astra Serif" w:hAnsi="PT Astra Serif"/>
          <w:b/>
          <w:color w:val="auto"/>
          <w:sz w:val="27"/>
          <w:lang w:val="ru-RU"/>
        </w:rPr>
        <w:t xml:space="preserve">ООО </w:t>
      </w:r>
      <w:r>
        <w:rPr>
          <w:rFonts w:ascii="PT Astra Serif" w:hAnsi="PT Astra Serif"/>
          <w:b/>
          <w:color w:val="auto"/>
          <w:sz w:val="27"/>
          <w:lang w:val="en-US"/>
        </w:rPr>
        <w:t>«</w:t>
      </w:r>
      <w:r>
        <w:rPr>
          <w:rFonts w:ascii="PT Astra Serif" w:hAnsi="PT Astra Serif"/>
          <w:b/>
          <w:color w:val="auto"/>
          <w:sz w:val="27"/>
          <w:lang w:val="ru-RU"/>
        </w:rPr>
        <w:t>Тереньгульский ГОК</w:t>
      </w:r>
      <w:r>
        <w:rPr>
          <w:rFonts w:ascii="PT Astra Serif" w:hAnsi="PT Astra Serif"/>
          <w:b/>
          <w:color w:val="auto"/>
          <w:sz w:val="27"/>
          <w:lang w:val="en-US"/>
        </w:rPr>
        <w:t>».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Объем инвестиций в основной капитал в 2024 году составил 348, 2 млн.рублей. Это демонстрирует готовность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Тереньгульский ГОК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>продолжать развивать свою инфраструктуру и производственные мощности.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 </w:t>
      </w:r>
      <w:r>
        <w:rPr>
          <w:rFonts w:ascii="PT Astra Serif" w:hAnsi="PT Astra Serif"/>
          <w:b w:val="false"/>
          <w:color w:val="auto"/>
          <w:sz w:val="27"/>
          <w:lang w:val="ru-RU"/>
        </w:rPr>
        <w:t>В рамках долгосрочной стратегии на 2025 – 2027 годы планируется реализация проекта по строительству нового завода по производству высокомарочных песков. Ожидается, что это позволит не только увеличить объемы отгрузки и расширить количество точек сбыта, но и создать дополнительные 50 рабочих мест с достойной заработной платой.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Еще одной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Точкой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в Тереньгульском районе является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Р.О.С.-Бекон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Объем инвестиций в основной капитал в 2024 году </w:t>
      </w:r>
      <w:r>
        <w:rPr>
          <w:rFonts w:ascii="PT Astra Serif" w:hAnsi="PT Astra Serif"/>
          <w:b/>
          <w:color w:val="auto"/>
          <w:sz w:val="27"/>
          <w:lang w:val="ru-RU"/>
        </w:rPr>
        <w:t>на 45,8% больше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 по сравнению с аналогичным периодом 2023 года. 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>Основные направления развития предприятия заключаются в следующем: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Строительство нового блока на 1,5 тыс. свиней.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Строительство комбикормового завода.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Закупка газопоршневой станции.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spacing w:lineRule="auto" w:line="240"/>
        <w:ind w:firstLine="567" w:start="0" w:end="0"/>
        <w:jc w:val="both"/>
        <w:rPr>
          <w:rFonts w:ascii="PT Astra Serif" w:hAnsi="PT Astra Serif"/>
          <w:b/>
          <w:color w:val="auto"/>
          <w:sz w:val="27"/>
          <w:lang w:val="ru-RU"/>
        </w:rPr>
      </w:pPr>
      <w:r>
        <w:rPr>
          <w:rFonts w:ascii="PT Astra Serif" w:hAnsi="PT Astra Serif"/>
          <w:b/>
          <w:color w:val="auto"/>
          <w:sz w:val="27"/>
          <w:lang w:val="ru-RU"/>
        </w:rPr>
        <w:t>Увеличение производственных мощностей убойного цеха.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Реализация данного проекта в рамках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Точек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не только укрепит позиции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Р.О.С.-Бекон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>на рынке, но и послужит основой для устойчивого развития всего аграрного сектора района, что в свою очередь приведет к улучшению качества жизни местных жителей и созданию новых рабочих мест.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В реестр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Точек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7"/>
          <w:lang w:val="ru-RU"/>
        </w:rPr>
        <w:t>на 2025-2027 годы внесены проекты, направленные на развитие придорожного сервиса. Это включает как расширение действующих объектов, так и строительство новых.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Одним из важных вопросов, требующих решения в связи с реализацией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Точек роста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7"/>
          <w:lang w:val="ru-RU"/>
        </w:rPr>
        <w:t>является необходимость внесения изменений в генеральные планы поселений района. Министерство имущественных отношений и архитектуры области ведет работу по внесению изменений в генеральный план, и Тереньгульский район активно участвует в этом процессе.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На территории района находится множество туристических объектов, среди которых особенно выделяется памятник природы регионального значения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Скрипинские Кучуры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В сентябре 2024 года прошла встреча с инвестором ООО </w:t>
      </w:r>
      <w:r>
        <w:rPr>
          <w:rFonts w:ascii="PT Astra Serif" w:hAnsi="PT Astra Serif"/>
          <w:b w:val="false"/>
          <w:color w:val="auto"/>
          <w:sz w:val="27"/>
          <w:lang w:val="en-US"/>
        </w:rPr>
        <w:t>«</w:t>
      </w:r>
      <w:r>
        <w:rPr>
          <w:rFonts w:ascii="PT Astra Serif" w:hAnsi="PT Astra Serif"/>
          <w:b w:val="false"/>
          <w:color w:val="auto"/>
          <w:sz w:val="27"/>
          <w:lang w:val="ru-RU"/>
        </w:rPr>
        <w:t>Авиасервис</w:t>
      </w:r>
      <w:r>
        <w:rPr>
          <w:rFonts w:ascii="PT Astra Serif" w:hAnsi="PT Astra Serif"/>
          <w:b w:val="false"/>
          <w:color w:val="auto"/>
          <w:sz w:val="27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z w:val="27"/>
          <w:lang w:val="ru-RU"/>
        </w:rPr>
        <w:t>целью которой является создание глэмпинга (туристической базы отдыха) вблизи ООПТ Скрипинские Кучуры. В процессе обсуждения были предложены и рассмотрены две потенциальные инвестиционные площадки. Проект в стадии проработки.</w:t>
      </w:r>
    </w:p>
    <w:p>
      <w:pPr>
        <w:pStyle w:val="Normal"/>
        <w:spacing w:lineRule="auto" w:line="240"/>
        <w:ind w:firstLine="567" w:start="0" w:end="0"/>
        <w:jc w:val="both"/>
        <w:rPr>
          <w:rFonts w:ascii="PT Astra Serif" w:hAnsi="PT Astra Serif"/>
          <w:b w:val="false"/>
          <w:color w:val="auto"/>
          <w:sz w:val="27"/>
          <w:lang w:val="ru-RU"/>
        </w:rPr>
      </w:pPr>
      <w:r>
        <w:rPr>
          <w:rFonts w:ascii="PT Astra Serif" w:hAnsi="PT Astra Serif"/>
          <w:b w:val="false"/>
          <w:color w:val="auto"/>
          <w:sz w:val="27"/>
          <w:lang w:val="ru-RU"/>
        </w:rPr>
        <w:t xml:space="preserve">Привлечение инвесторов, поддержка местного бизнеса и активное сотрудничество с государственными органами станут залогом успешного будущего района.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 xml:space="preserve">Основой экономики нашего района является агропромышленный комплекс,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который в 2024 году были вложены значительные инвестиции на техническое перевооружение и модернизацию производства. В частности, было приобретено более 20 единиц техники на сумму свыше 280 млн рублей.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Общий валовой сбор зерна в 2024 году составил более 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56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</w:t>
      </w:r>
      <w:r>
        <w:rPr>
          <w:rFonts w:ascii="Times New Roman CYR" w:hAnsi="Times New Roman CYR"/>
          <w:b w:val="false"/>
          <w:color w:val="000000"/>
          <w:sz w:val="32"/>
          <w:shd w:fill="FFFFFF" w:val="clear"/>
          <w:lang w:val="ru-RU"/>
        </w:rPr>
        <w:t>тыс. тонн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при урожайности 27,5 центнеров с гектара, что является хорошим, но не рекордным результатом для района. Посевная площадь в 2024 году составила 36 460 га. Площадь в обработке увеличилась на 732 га за счет введения в оборот залежных земель.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Хозяйства района сделали хороший задел под урожай 2025 года, посеяв 10 327 га озимых, что на 5% выше уровня прошлого года.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Наилучших показателей добились следующие землепользователи: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hanging="360" w:start="1429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ООО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Молвино Агро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»: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hanging="360" w:start="1429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ООО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Магрос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»: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hanging="360" w:start="1429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ООО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Росток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»: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Хорошие результаты также показали крестьянские фермерские хозяйства, такие как Астайкиной Л.Е., Асоян А.З., Саликовой Ю.Н.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Несмотря на сложности в ведении животноводства, развитие этой отрасли является приоритетным направлением для сельскохозяйственных предприятий. Восстановление животноводства возможно через активизацию работы действующих предприятий и крестьянско-фермерских хозяйств, а также привлечение внешних инвесторов.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По состоянию на 01.01.2025 года в районе функционирует 26 крестьянско-фермерских хозяйств и 4 сельскохозяйственных предприятия. В рамках инициативы Губернатора Ульяновской области и Министерства агропромышленного комплекса и развития сельских территорий на развитие сельского хозяйства района было направлено 206,9 млн рублей федеральных и областных средств для поддержки растениеводства и животноводства.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Земля является основным средством производства и важной частью материально-технической базы сельского хозяйства. В настоящее время введено в сельхозоборот 53% от общего количества пашни в муниципалитете (84 186 га). Большая часть земель (55 тыс. га, или 65,5%) находится в областной собственности, из которых более 50% не введено в сельхозоборот. За 4 года предприятия и фермерские хозяйства ввели в сельхозоборот 6137 га.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планах администрации района на ближайшие пять лет – обеспечить введение в экономический оборот земель общей площадью не менее 10 000 га.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Агропромышленный комплекс нашего района демонстрирует устойчивые результаты и позитивные тенденции, несмотря на существующие вызовы. Инвестиции в модернизацию, увеличение посевных площадей и поддержка со стороны государственных структур создают прочную основу для дальнейшего развития.</w:t>
      </w:r>
    </w:p>
    <w:p>
      <w:pPr>
        <w:pStyle w:val="Normal"/>
        <w:spacing w:lineRule="auto" w:line="240" w:before="120" w:after="120"/>
        <w:ind w:firstLine="708" w:start="0" w:end="0"/>
        <w:jc w:val="both"/>
        <w:rPr>
          <w:rFonts w:ascii="PT Astra Serif" w:hAnsi="PT Astra Serif"/>
          <w:b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 xml:space="preserve">Одной из ключевых областей, влияющих на качество жизни населения, является жилищно-коммунальная сфера.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Эта сфера не только обеспечивает жителей необходимыми услугами, но и напрямую влияет на уровень комфорта и безопасности в повседневной жизни.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По состоянию на 1 января 2025 года доля газифицированного жилья в муниципальном образовании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составляет 42,07% от общего количества домовладений. По поручению Президента РФ Путина В.В. в рамках реализации Программы развития газоснабжения и газификации Ульяновской области на период 2021-2025 годов с участием ПАО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Газпром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продолжается работа по газификации населённых пунктов.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Завершены работы по строительству внутрипоселковых газопроводов в следующих населённых пунктах: с. Гавриловка, с. Гладчиха, с. Елшанка, с. Белогорское, с. Сосновка, с. Михайловка, с. Калиновка, д. Скрипино, с. Байдулино, хутор Риновский, с. Риновка и с. Суровка. В настоящее время исполнительная и техническая документация по данным объектам сдана в Ростехнадзор, а пуск газа запланирован на 2025 год. В 1 квартале этого года осуществлен пуск газа в 2 населенных пунктах (Байдулино, Хутор Риновский).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апреле 2025 года подрядная организация заходит на устройство внутрипоселкового газопровода в с. Зеленец.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После реализации указанных мероприятий газификация останется нерешённой для 9 населённых пунктов: с. Старая Ерыкла, ст. Молвино, с. Языково, пос. Лысогорский, пос. Родничок, д. Коровинка, пос. Конный Обоз, с. Алешкино и с. Еремкино. Задача, которую мы перед собой ставим – при формировании Программы развития газоснабжения и газификации Ульяновской области на период 2026-2030 годов включить в неё вышеуказанные села.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 </w:t>
      </w:r>
      <w:r>
        <w:rPr>
          <w:rFonts w:ascii="Times New Roman CYR" w:hAnsi="Times New Roman CYR"/>
          <w:b w:val="false"/>
          <w:color w:val="000000"/>
          <w:sz w:val="28"/>
          <w:shd w:fill="FFFFFF" w:val="clear"/>
          <w:lang w:val="ru-RU"/>
        </w:rPr>
        <w:t>Ульяновским областным водоканалом, проводится большой объем работы, позволяющий поддерживать высокий уровень надежности водоснабжения и водоотведения. За истекший год на сетях водоснабжения было устранено более 70 порывов и заменено 11 насосов. Своевременность реагирования на обращения жителей, выстроенная система взаимодействия, администрации райна, Глав администраций сельских поселений и профессиональных сотрудников данной организации позволило обеспечить качественной услугой водоснабжения жителей, даже в жаркий период года.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Центральное теплоснабжение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на территории района обеспечивается ОГКП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Корпорация развития коммунального комплекса Ульяновской области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По поручению Губернатора Ульяновской области А.Ю. Русских в сентябре 2024 года была установлена газовая котельная Тумкинской ОШ, что позволило обеспечить отопление не только школу, но и детского сада, ФАПа и СДК.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2024 году на освещение населенных пунктов выделено 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2,5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млн. рублей, из которых 1,5 млн.рублей на содержание существующей сети и более 1 млн. рублей на установку новых светильников в части улиц с. Красноборск, Р. Хутор, ст. Молвино.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прошедшем году было установлено 11 новых контейнерных площадок в Подкуровском сельском поселении и 8 отремонтировано в с. Ясашная Ташла.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Кроме того, в рамках мероприятий по улучшению санитарного состояния территории была проведена ликвидация несанкционированных свалок, расположенной вблизи кладбища в селе Ясашная Ташла и возле контейнерных площадок, расположенных на территории района. В результате проведенных работ было вывезено около 1400 кубических метров мусора.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программы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Комплексное развитие сельских территорий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и национального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Безопасные качественные автомобильные дороги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было проведено благоустройство парка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Дружба народов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с обустройством прогулочной зоны, велодорожки, а также установкой скамеек, урн и освещения на сумму более 8,0 млн. рублей.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2024 году в рамках проекта поддержки местных инициатив был проведён ремонт ограждения кладбища в р.п. Тереньга, произведено расширение территории кладбища на 1,4 Га, установлены 3 контейнерные площадки и приобретены 6 бункеров для ТКО. На территории кладбища также была проведена чистка от поросли и вывоз 400 куб. м. мусора.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Благодаря реализации этого же проекта был проведён ремонт ограждения кладбища в с. Михайловка с установкой 3D забора.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32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С 2023 ведется работа по инвентаризации кладбищ в муниципальном образовании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На сегодня  проинвентаризировано 9 кладбищ. Работа в данном направлении будет продолжена.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государственной программы Ульяновской области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Охрана окружающей среды и восстановление природных ресурсов Ульяновской области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с. Зеленец проведено благоустройство родника на общую сумму 289,5 тыс. рублей.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Благодаря активной жизненной позиции жителей села  Б.Борла под руководством Фомина Виктора Степановича был благоустроен родник в данном населенном пункте. Для поддержки инициативы жителей с района было выделено 100 тыс.рублей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2025 году запланированы следующие мероприятия: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Продолжим ремонт родников – с. Риновка выделены средства на родник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Бочка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Благодаря поддержке депутата Законодательного Собрания В.В. Ковеля с областного бюджета  выделены дополнительные средства на ремонт родника в с. Б.Борла. За счет средств Тереньгульского городского поселения планируется благоустроить родник в с. Гладчиха.  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Ремонт контейнерных площадок в сельских поселениях на сумму 298,0 тыс. руб.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Подготовка проекта Зон санитарной охраны на сумму 150,0 тыс. руб. по решением суда.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Установка пожарных гидрантов на сумму 450,0 тыс. рублей.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Инвентаризация кладбищ 515,168 тыс. руб.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с. Гладчиха планируется установка скважины на ул. Зеленой на сумму свыше 200,0 тыс. рублей.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ППМИ в с. Михайловка будет оборудована культурная зона, с установкой сценического комплекса и скамеек.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ППМИ в с. Ясашная Ташла будет обустройство парка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Аллея славы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».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мероприятий по освещению запланированы следующие работы: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Замена светильников в р.п. Тереньга по улицам Евстифеева, Фадеева, Л. Чайкиной, Кошевого и Островского с установкой новых опор.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Установка светильников на ст. Молвино на ул. Железнодорожной (в соответствии с решением суда). 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Установка светильников в с. Гладчиха на ул. Зеленая и ул. Молодежная.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Установка 12 светильников в с. Ясашная Ташла на ул. Ленина.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национального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Безопасные качественные автомобильные дороги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планируется освещение региональных дорог в 2 населенных пунктах.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spacing w:lineRule="auto" w:line="240"/>
        <w:ind w:firstLine="709" w:start="0" w:end="0"/>
        <w:jc w:val="both"/>
        <w:rPr>
          <w:rFonts w:ascii="Times New Roman CYR" w:hAnsi="Times New Roman CYR"/>
          <w:b w:val="false"/>
          <w:color w:val="auto"/>
          <w:sz w:val="24"/>
          <w:shd w:fill="FFFFFF" w:val="clear"/>
          <w:lang w:val="ru-RU"/>
        </w:rPr>
      </w:pPr>
      <w:r>
        <w:rPr>
          <w:rFonts w:ascii="Times New Roman CYR" w:hAnsi="Times New Roman CYR"/>
          <w:b w:val="false"/>
          <w:color w:val="000000"/>
          <w:sz w:val="28"/>
          <w:shd w:fill="FFFFFF" w:val="clear"/>
          <w:lang w:val="ru-RU"/>
        </w:rPr>
        <w:t xml:space="preserve">В настоящее время ведется работа по вхождению в Федеральную программу </w:t>
      </w:r>
      <w:r>
        <w:rPr>
          <w:rFonts w:ascii="Times New Roman" w:hAnsi="Times New Roman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Times New Roman CYR" w:hAnsi="Times New Roman CYR"/>
          <w:b w:val="false"/>
          <w:color w:val="000000"/>
          <w:sz w:val="28"/>
          <w:shd w:fill="FFFFFF" w:val="clear"/>
          <w:lang w:val="ru-RU"/>
        </w:rPr>
        <w:t>Историческое поселение</w:t>
      </w:r>
      <w:r>
        <w:rPr>
          <w:rFonts w:ascii="Times New Roman" w:hAnsi="Times New Roman"/>
          <w:b w:val="false"/>
          <w:color w:val="000000"/>
          <w:sz w:val="28"/>
          <w:shd w:fill="FFFFFF" w:val="clear"/>
          <w:lang w:val="en-US"/>
        </w:rPr>
        <w:t xml:space="preserve">», </w:t>
      </w:r>
      <w:r>
        <w:rPr>
          <w:rFonts w:ascii="Times New Roman CYR" w:hAnsi="Times New Roman CYR"/>
          <w:b w:val="false"/>
          <w:color w:val="000000"/>
          <w:sz w:val="28"/>
          <w:shd w:fill="FFFFFF" w:val="clear"/>
          <w:lang w:val="ru-RU"/>
        </w:rPr>
        <w:t>с целью благоустройства центральной (исторической) части р.п. Тереньга. При условии победы сумма на благоустройство за счет федерального бюджета может составить до 80 млн. рублей.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Таким образом, для эффективного решения вопросов газификации, освещения и благоустройства в муниципальном образовании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необходимо продолжать комплексный подход и активное взаимодействие с населением.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Важнейшую роль в развитии Тереньгульского района играют качественные автомобильные дороги.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При поддержке Губернатора Ульяновской области А.Ю. Русских и депутатов Законодательного Собрания от партии Единая Россия на территории муниципального образования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успешно реализуется национальный проект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Безопасные качественные автомобильные дороги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2024 году на ремонт и содержание автомобильных дорог Тереньгульского района выделено более 46 миллионов рублей, что позволило отремонтировать свыше 11,7 километров автодорог и 692 погонных метра тротуаров, а также выполнить благоустройство территорий школ и детских садов. </w:t>
      </w:r>
    </w:p>
    <w:p>
      <w:pPr>
        <w:pStyle w:val="Normal"/>
        <w:suppressAutoHyphens w:val="true"/>
        <w:spacing w:lineRule="auto" w:line="240" w:before="0" w:after="160"/>
        <w:ind w:firstLine="709" w:start="0" w:end="0"/>
        <w:jc w:val="both"/>
        <w:rPr>
          <w:rFonts w:ascii="Times New Roman CYR" w:hAnsi="Times New Roman CYR"/>
          <w:b w:val="false"/>
          <w:color w:val="auto"/>
          <w:sz w:val="28"/>
          <w:lang w:val="ru-RU"/>
        </w:rPr>
      </w:pPr>
      <w:r>
        <w:rPr>
          <w:rFonts w:ascii="Times New Roman CYR" w:hAnsi="Times New Roman CYR"/>
          <w:b w:val="false"/>
          <w:color w:val="auto"/>
          <w:sz w:val="28"/>
          <w:lang w:val="ru-RU"/>
        </w:rPr>
        <w:t xml:space="preserve">Проведены работы по устройству асфальтобетонного покрытия: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Times New Roman CYR" w:hAnsi="Times New Roman CYR"/>
          <w:b w:val="false"/>
          <w:color w:val="auto"/>
          <w:sz w:val="28"/>
          <w:lang w:val="ru-RU"/>
        </w:rPr>
      </w:pPr>
      <w:r>
        <w:rPr>
          <w:rFonts w:ascii="Times New Roman CYR" w:hAnsi="Times New Roman CYR"/>
          <w:b w:val="false"/>
          <w:color w:val="auto"/>
          <w:sz w:val="28"/>
          <w:lang w:val="ru-RU"/>
        </w:rPr>
        <w:t xml:space="preserve">в р.п. Тереньга по ул. Сызранское шоссе, ул. Ульяновская, ул. Строителей;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Times New Roman CYR" w:hAnsi="Times New Roman CYR"/>
          <w:b w:val="false"/>
          <w:color w:val="auto"/>
          <w:sz w:val="28"/>
          <w:lang w:val="ru-RU"/>
        </w:rPr>
      </w:pPr>
      <w:r>
        <w:rPr>
          <w:rFonts w:ascii="Times New Roman CYR" w:hAnsi="Times New Roman CYR"/>
          <w:b w:val="false"/>
          <w:color w:val="auto"/>
          <w:sz w:val="28"/>
          <w:lang w:val="ru-RU"/>
        </w:rPr>
        <w:t>с. Красноборск, ул. Школьная и территория Красноборской СОШ.</w:t>
      </w:r>
    </w:p>
    <w:p>
      <w:pPr>
        <w:pStyle w:val="Normal"/>
        <w:spacing w:lineRule="auto" w:line="240"/>
        <w:ind w:firstLine="709" w:start="0" w:end="0"/>
        <w:jc w:val="both"/>
        <w:rPr>
          <w:rFonts w:ascii="Times New Roman CYR" w:hAnsi="Times New Roman CYR"/>
          <w:b/>
          <w:color w:val="auto"/>
          <w:sz w:val="28"/>
          <w:lang w:val="ru-RU"/>
        </w:rPr>
      </w:pPr>
      <w:r>
        <w:rPr>
          <w:rFonts w:ascii="Times New Roman CYR" w:hAnsi="Times New Roman CYR"/>
          <w:b/>
          <w:color w:val="auto"/>
          <w:sz w:val="28"/>
          <w:lang w:val="ru-RU"/>
        </w:rPr>
        <w:t>В 2025 году сумма с областного бюджета на ремонт дорог не уменьшилась. Планируется выполнить большой объем работ. Наиболее крупные проекты:</w:t>
      </w:r>
    </w:p>
    <w:p>
      <w:pPr>
        <w:pStyle w:val="Normal"/>
        <w:numPr>
          <w:ilvl w:val="0"/>
          <w:numId w:val="1"/>
        </w:numPr>
        <w:spacing w:lineRule="auto" w:line="240" w:before="0" w:after="160"/>
        <w:ind w:hanging="360" w:start="72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асфальтового покрытия дороги ул. Пушкина от ул. Фадеева до парка   р.п. Тереньга;</w:t>
      </w:r>
    </w:p>
    <w:p>
      <w:pPr>
        <w:pStyle w:val="Normal"/>
        <w:numPr>
          <w:ilvl w:val="0"/>
          <w:numId w:val="1"/>
        </w:numPr>
        <w:spacing w:lineRule="auto" w:line="240" w:before="0" w:after="160"/>
        <w:ind w:hanging="360" w:start="72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щебеночного покрытия дороги ул. Полевая с. Красноборск;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асфальтового покрытия территории Ясашноташлинской СОШ с. Ясашная Ташла;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асфальтового покрытия дороги и парковки ул. Ленина с. Ясашная Ташла;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тротуара Ясашноташлинской СОШ с. Ясашная Ташла;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ind w:hanging="360" w:start="720" w:end="0"/>
        <w:jc w:val="both"/>
        <w:rPr>
          <w:rFonts w:ascii="Times New Roman CYR" w:hAnsi="Times New Roman CYR"/>
          <w:b w:val="false"/>
          <w:color w:val="auto"/>
          <w:sz w:val="32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асфальтобетонного покрытия дворовой территории МКД с. Ясашная Ташла, с. Солдатская Ташла, р.п. Тереньга.</w:t>
      </w:r>
    </w:p>
    <w:p>
      <w:pPr>
        <w:pStyle w:val="Normal"/>
        <w:suppressAutoHyphens w:val="true"/>
        <w:spacing w:lineRule="auto" w:line="240"/>
        <w:ind w:hanging="0" w:start="720" w:end="0"/>
        <w:jc w:val="both"/>
        <w:rPr>
          <w:rFonts w:ascii="Times New Roman CYR" w:hAnsi="Times New Roman CYR"/>
          <w:b w:val="false"/>
          <w:color w:val="auto"/>
          <w:sz w:val="32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Так же планируется закупка автоподметальной машины для обслуживания территории р.п. Тереньга.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Одной из главных задач является проведение эффективной</w:t>
      </w:r>
      <w:r>
        <w:rPr>
          <w:rFonts w:ascii="PT Astra Serif" w:hAnsi="PT Astra Serif"/>
          <w:b/>
          <w:color w:val="000000"/>
          <w:sz w:val="28"/>
          <w:shd w:fill="FFFFFF" w:val="clear"/>
          <w:lang w:val="en-US"/>
        </w:rPr>
        <w:t> 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социальной политики.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Именно по уровню развития социальной сферы зачастую и оценивается эффективность нашей работы в целом.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Социальная и экономическая системы не могут существовать одна без другой, поскольку они дополняют друг друга, делают стабильными развитие территорий.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 xml:space="preserve">Одним из ключевых шагов на пути к созданию условий для охраны здоровья населения нашего района является обеспечение доступности медицинских услуг.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Несмотря на то, что система здравоохранения имеет областную принадлежность, мы не можем игнорировать как проблемы, так и достижения в данной сфере на уровне нашего района.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реализации национального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Здравоохранение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апреле 2024 года был завершен капитальный ремонт первого этажа поликлиники ГУЗ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Тереньгульская РБ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Кроме того, в рамках модернизации медицинской инфраструктуры был проведен монтаж газового оборудования и осуществлен пуск газа в в ФАПах сел Скугареевка, Красноборск и в офисе врача общей практики села Большая Борла. Это значительно улучшило условия работы медицинского персонала и повысило комфорт для пациентов.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2024 году ГУЗ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Тереньгульская РБ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также получила передвижной мобильный комплекс, включающий флюорограф и маммограф, а также стационарный рентгенологический аппарат и легковой автомобиль Лада Гранта.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ГУЗ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Тереньгульская РБ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в 2025 году планируется закупка портативного прибора — Холтер (аппарат постоянно отслеживает изменения в работе сердца и фиксирует даже малейшее отклонение от нормы за 24 часа) и аппарат для суточного мониторирования артериального давления (СМАД).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По поручению Губернатора Ульяновской области А.Ю. Русских совместно с министерством здравоохранения Ульяновской области ведется работа по вхождению в федеральную программу по строительству или капитальному ремонту амбулатории в с. Ясашная Ташла.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Проводимые мероприятия способствуют не только улучшению материально-технической базы здравоохранения, но и повышению доступности медицинских услуг для населения. Мы уверены, что дальнейшая работа в этом направлении позволит достичь значительных результатов в охране здоровья граждан нашего района.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Образование формирует основу для будущего устойчивого развития муниципалитета.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Система образования Тереньгульского района представлена 14 образовательными организациями.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прошедшем году продолжено исполнение поручения Президента РФ по обеспечению бесплатным горячим питанием школьников. Всего охвачено горячим питанием 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92,3%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учащихся 1-11 классов, 100% с 1-4 класс. Общий объем средств, направленных на организацию питания различных категорий школьников в 2024 году, составил 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>8,1 млн.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 рублей, из </w:t>
      </w:r>
      <w:r>
        <w:rPr>
          <w:rFonts w:ascii="PT Astra Serif" w:hAnsi="PT Astra Serif"/>
          <w:b/>
          <w:color w:val="000000"/>
          <w:sz w:val="28"/>
          <w:shd w:fill="FFFFFF" w:val="clear"/>
          <w:lang w:val="ru-RU"/>
        </w:rPr>
        <w:t xml:space="preserve">них около 3 млн.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рублей из местного бюджета.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национального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Образование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Тереньгульском лицее был создан Центр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Точка роста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данного проекта проведен ремонт кабинетов в соответствии с бренд-буком, закуплена новая мебель и навигация. Министерством просвещения и воспитания Ульяновской области было передано оборудование по химии, физике и биологии.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Скугареевская школа стала победителем в конкурсе на предоставление грантов в форме субсидий из областного бюджета Ульяновской области для реализации пилотного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Агроклассы 2.0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Грант составил 2,0 млн рублей, на которые было закуплено оборудование для реализации данного проекта.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С сентября 2024 года данный класс начал свое функционирование. Агрокласс состоит из 15 человек, заключены соглашения с областным государственным бюджетным профессиональным учреждением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Кузоватовским технологическим техникумом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»,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а также с компанией ООО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Росток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»,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дополнительно заключили двухстороннее соглашение   с Федеральным государственным образовательным учреждением высшего образования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Ульяновский государственный аграрный университет имени П.А.Столыпина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Обучающиеся данного класса проходят профессиональное обучение по специальности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Плодоовощевод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рамках Федерального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Первая профессия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После завершения обучения получат дипломы государственного образца.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Солдатскоташлинской школе в рамках проекта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Цифровая образовательная среда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обновлена материально-техническая база: поступили 29 ноутбуков, МФУ, 3 телевизора и видеокамеры. 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целях обеспечения антитеррористической безопасности во всех образовательных организациях муниципального образования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 (23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объекта) установлены системы оповещения и управления эвакуацией. В дошкольной группе Солдатскоташлинской школы было установлено новое ограждение.</w:t>
      </w:r>
    </w:p>
    <w:p>
      <w:pPr>
        <w:pStyle w:val="Normal"/>
        <w:spacing w:lineRule="auto" w:line="240" w:before="120" w:after="12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</w:pP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 xml:space="preserve">В районе создаются условия для вовлечения детей в общественно – полезную деятельность в детских садах, школах и организациях дополнительного образования - открыты школьные спортивные клубы, школьные театры, музеи, ведется активная работа с детскими общественными объединениями. Участвуем в значимых проектах 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Движение первых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», 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Орлята России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>», «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ru-RU"/>
        </w:rPr>
        <w:t>Большая перемена</w:t>
      </w:r>
      <w:r>
        <w:rPr>
          <w:rFonts w:ascii="PT Astra Serif" w:hAnsi="PT Astra Serif"/>
          <w:b w:val="false"/>
          <w:color w:val="000000"/>
          <w:sz w:val="28"/>
          <w:shd w:fill="FFFFFF" w:val="clear"/>
          <w:lang w:val="en-US"/>
        </w:rPr>
        <w:t xml:space="preserve">». 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Мы вступили в федеральную программу капитального ремонта детских садов, которая была разработана по поручению Президента Российской Федерации В.В. Путина. В 2024 году мы подготовили и своевременно направили заявку с пакетом документов по детскому саду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Солнышко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И вот уже сегодня подрядная организация приступила к ремонтным работам. Общую сумма средств на обновление детского сада -  более 64,0 млн. рублей, из которых 60, млн. рублей ремонтные работы и 4 млн.рублей приобретение оборудования. Задача до 01.09.2025 открыть двери обновленного детского сада.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Система образования Тереньгульского района демонстрирует положительные результаты в различных направлениях, включая обеспечение питания учащихся, качество образования и внедрение новых образовательных программ. Мы продолжаем активно работать над улучшением материально-технической базы образовательных учреждений, что позволяет создавать комфортные и безопасные условия для обучения и воспитания детей.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Задачи на 2025 г.: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1428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Ремонт спортивного зала и замена оконных блоков в МОУ Ясашноташлинская СОШ;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1428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Установка ограждения в детском саду Солнышко и Ясашноташлинской школе, в рамках антитеррористической защищенности;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1428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Обновление проектно – сметной документации Михайловской школы и вхождение в федеральную программу по капитальному ремонту Тереньгульского лицея основного здания на 2026 год;</w:t>
      </w:r>
    </w:p>
    <w:p>
      <w:pPr>
        <w:pStyle w:val="Normal"/>
        <w:numPr>
          <w:ilvl w:val="0"/>
          <w:numId w:val="1"/>
        </w:numPr>
        <w:spacing w:lineRule="auto" w:line="240"/>
        <w:ind w:hanging="360" w:start="1428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Обновление классов по ОБЗР и Труд.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>В 2024 году деятельность учреждений культуры в Тереньгульском районе была направлена на обеспечение максимальной доступности культурных благ для всех жителей.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 В нашем районе функционирует 19 учреждений клубного типа, в которых активно работают 109 клубных формирований, объединяющих 1245 участников, из которых 118 являются штатными сотрудниками. Сохранение и развитие традиционной народной культуры осуществляется через 82 коллектива художественной самодеятельности, из них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2 коллектива -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Живая вода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и любительский театр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Встреча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защитили звание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Народный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», 2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коллектива нарабатывают программу для получения звания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народный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в 2026 году.</w:t>
      </w:r>
    </w:p>
    <w:p>
      <w:pPr>
        <w:pStyle w:val="Normal"/>
        <w:tabs>
          <w:tab w:val="clear" w:pos="709"/>
          <w:tab w:val="left" w:pos="0" w:leader="none"/>
        </w:tabs>
        <w:spacing w:lineRule="auto" w:line="24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en-US"/>
        </w:rPr>
        <w:tab/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Ведется работа 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 Ульяновским колледжем культуры и искусства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 по привлечению в учреждения культуры молодых специалистов, направлены заявки на целевое обучение.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Традиционными мероприятиями района стали фестивали народного творчества, проводимые на базе культурно-досугового центра. 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2024 году в нашем районе были проведены все национальные праздники, а также мы активно участвовали в областных мероприятиях. </w:t>
      </w:r>
    </w:p>
    <w:p>
      <w:pPr>
        <w:pStyle w:val="Normal"/>
        <w:spacing w:lineRule="auto" w:line="240"/>
        <w:ind w:firstLine="708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 базе учреждений культуры прошли благотворительные концерты, средства от которых были направлены на закупку гуманитарной помощи для участников специальной военной операции.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Основными проблемами в сфере культуры остаются вопросы материально-технической базы.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В 2024 году по поручению Губернатора Ульяновской области была отремонтирована кровля на Елшанском СДК, сумма работ составила 3,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 8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млн.руб., из них за счет бюджета МО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софинансирование составило более 385 тыс.руб.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рамках Проекта Поддержки Местных Инициатив выполнены ремонтные работы (ремонт крыльца и фойе) в Подкуровском КДЦ, сумма выполненных работ составила более </w:t>
      </w:r>
      <w:r>
        <w:rPr>
          <w:rFonts w:ascii="PT Astra Serif" w:hAnsi="PT Astra Serif"/>
          <w:b/>
          <w:color w:val="auto"/>
          <w:sz w:val="28"/>
          <w:lang w:val="ru-RU"/>
        </w:rPr>
        <w:t>2,5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 млн.рублей.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 2025 год выделены средства в размере </w:t>
      </w:r>
      <w:r>
        <w:rPr>
          <w:rFonts w:ascii="PT Astra Serif" w:hAnsi="PT Astra Serif"/>
          <w:b/>
          <w:color w:val="auto"/>
          <w:sz w:val="28"/>
          <w:lang w:val="ru-RU"/>
        </w:rPr>
        <w:t>4,8 млн.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 рублей на ремонт помещений двух домов культуры. В настоящее время готовится пакет документов для размещения на электронном аукционе.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Основная задача на 2025 и 2026 годы вхождение в программы, в рамках  национального проекта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Семья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z w:val="28"/>
          <w:lang w:val="ru-RU"/>
        </w:rPr>
        <w:t>по капитальному ремонту Тереньгульского КДЦ. В настоящее время проходит государственную экспертизу проектно-сметная документация, которая включает все необходимые виды работ: усиление фундамента, ремонт фасада, кровли, актового зала, замена электропроводки, вентиляции, системы отопления и косметический ремонт внутренних помещений.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Несмотря на достигнутые успехи, перед нами стоят важные задачи по улучшению материально-технической базы и дальнейшему развитию культурной сферы в нашем районе.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>Спорт играет ключевую роль в жизни общества, способствуя не только физическому развитию, но и укреплению социальных связей, формированию здорового образа жизни и воспитанию молодежи.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В течение года в районе было проведено более 100 спортивно-массовых мероприятий, среди которых два всероссийских этапа чемпионата России по ралли-рейдам и 10 областных турниров по тяжелой атлетике и волейболу. В этих мероприятиях приняло участие более 3,5 тысяч человек, что подчеркивает активность и заинтересованность нашего населения в спортивных событиях.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Важным событием года стало заключение Соглашения о сотрудничестве между Правительством Ульяновской области и акционерным обществом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Газпромнефть-Аэро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В рамках этого соглашения ведется строительство многофункционального спортивного комплекса в селе Ясашная Ташла. Проект включает в себя зал для игровых видов спорта, единоборств и пространство для занятий клуба активного долголетия. Новый спортивный комплекс станет центром притяжения для жителей Ясашноташлинского и Подкуровского сельских поселений, предоставляя возможности для тренировок.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Мы гордимся успехами наших спортсменов! В октябре сборная команда Тереньгульского района впервые стала победительницей областной спартакиады трудовых коллективов Ульяновской области в рамках проекта </w:t>
      </w:r>
      <w:r>
        <w:rPr>
          <w:rFonts w:ascii="PT Astra Serif" w:hAnsi="PT Astra Serif"/>
          <w:b w:val="false"/>
          <w:color w:val="auto"/>
          <w:sz w:val="28"/>
          <w:lang w:val="en-US"/>
        </w:rPr>
        <w:t>«</w:t>
      </w:r>
      <w:r>
        <w:rPr>
          <w:rFonts w:ascii="PT Astra Serif" w:hAnsi="PT Astra Serif"/>
          <w:b w:val="false"/>
          <w:color w:val="auto"/>
          <w:sz w:val="28"/>
          <w:lang w:val="ru-RU"/>
        </w:rPr>
        <w:t>Россия в движении</w:t>
      </w:r>
      <w:r>
        <w:rPr>
          <w:rFonts w:ascii="PT Astra Serif" w:hAnsi="PT Astra Serif"/>
          <w:b w:val="false"/>
          <w:color w:val="auto"/>
          <w:sz w:val="28"/>
          <w:lang w:val="en-US"/>
        </w:rPr>
        <w:t xml:space="preserve">». </w:t>
      </w:r>
      <w:r>
        <w:rPr>
          <w:rFonts w:ascii="PT Astra Serif" w:hAnsi="PT Astra Serif"/>
          <w:b w:val="false"/>
          <w:color w:val="auto"/>
          <w:sz w:val="28"/>
          <w:lang w:val="ru-RU"/>
        </w:rPr>
        <w:t xml:space="preserve">Наша команда заняла 1-е места в перетягивании каната, легкой атлетике и спортивной викторине, а также 3-е места в гиревом спорте и соревнованиях спортивных семей.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По итогам года 4 воспитанника Центра тяжелой атлетики имени В.И. Сорокина выполнили нормативы мастеров спорта России, а 10 воспитанников стали кандидатами в сборную России. Эти достижения вдохновляют нас на дальнейшую работу и развитие спортивной инфраструктуры в нашем районе.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/>
          <w:color w:val="auto"/>
          <w:sz w:val="28"/>
          <w:lang w:val="ru-RU"/>
        </w:rPr>
      </w:pPr>
      <w:r>
        <w:rPr>
          <w:rFonts w:ascii="PT Astra Serif" w:hAnsi="PT Astra Serif"/>
          <w:b/>
          <w:color w:val="auto"/>
          <w:sz w:val="28"/>
          <w:lang w:val="ru-RU"/>
        </w:rPr>
        <w:t>Одна из наших главных задач – объединить жителей в работе по повышению комфортности сельских территорий. ТОСы успешно решают её.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 2024 году ТОСами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Солдатскоташлинское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», 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Алатырь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и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Сосновское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были поданы заявки на участие в президентских грантовых конкурсах.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 результате </w:t>
      </w:r>
      <w:r>
        <w:rPr>
          <w:rFonts w:ascii="PT Astra Serif" w:hAnsi="PT Astra Serif"/>
          <w:b/>
          <w:color w:val="000000"/>
          <w:sz w:val="28"/>
          <w:lang w:val="ru-RU"/>
        </w:rPr>
        <w:t xml:space="preserve">ТОС </w:t>
      </w:r>
      <w:r>
        <w:rPr>
          <w:rFonts w:ascii="PT Astra Serif" w:hAnsi="PT Astra Serif"/>
          <w:b/>
          <w:color w:val="000000"/>
          <w:sz w:val="28"/>
          <w:lang w:val="en-US"/>
        </w:rPr>
        <w:t>«</w:t>
      </w:r>
      <w:r>
        <w:rPr>
          <w:rFonts w:ascii="PT Astra Serif" w:hAnsi="PT Astra Serif"/>
          <w:b/>
          <w:color w:val="000000"/>
          <w:sz w:val="28"/>
          <w:lang w:val="ru-RU"/>
        </w:rPr>
        <w:t>Солдатскоташлинское</w:t>
      </w:r>
      <w:r>
        <w:rPr>
          <w:rFonts w:ascii="PT Astra Serif" w:hAnsi="PT Astra Serif"/>
          <w:b/>
          <w:color w:val="000000"/>
          <w:sz w:val="28"/>
          <w:lang w:val="en-US"/>
        </w:rPr>
        <w:t>»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стало победителем в 1-ом конкурсе Фонда Президентских грантов с проектом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Народный сельский кукольный театр Исток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на сумму более </w:t>
      </w:r>
      <w:r>
        <w:rPr>
          <w:rFonts w:ascii="PT Astra Serif" w:hAnsi="PT Astra Serif"/>
          <w:b/>
          <w:color w:val="000000"/>
          <w:sz w:val="28"/>
          <w:lang w:val="ru-RU"/>
        </w:rPr>
        <w:t xml:space="preserve">472,0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тыс.руб. и победителем 2-го конкурса Президентского Фонда культурных инициатив с проектом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Летний кинотеатр - клуб Синима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на сумму </w:t>
      </w:r>
      <w:r>
        <w:rPr>
          <w:rFonts w:ascii="PT Astra Serif" w:hAnsi="PT Astra Serif"/>
          <w:b/>
          <w:color w:val="000000"/>
          <w:sz w:val="28"/>
          <w:lang w:val="ru-RU"/>
        </w:rPr>
        <w:t xml:space="preserve">380,0 тыс. руб.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/>
          <w:color w:val="000000"/>
          <w:sz w:val="28"/>
          <w:lang w:val="ru-RU"/>
        </w:rPr>
      </w:pPr>
      <w:r>
        <w:rPr>
          <w:rFonts w:ascii="PT Astra Serif" w:hAnsi="PT Astra Serif"/>
          <w:b/>
          <w:color w:val="000000"/>
          <w:sz w:val="28"/>
          <w:lang w:val="ru-RU"/>
        </w:rPr>
        <w:t xml:space="preserve">ТОС </w:t>
      </w:r>
      <w:r>
        <w:rPr>
          <w:rFonts w:ascii="PT Astra Serif" w:hAnsi="PT Astra Serif"/>
          <w:b/>
          <w:color w:val="000000"/>
          <w:sz w:val="28"/>
          <w:lang w:val="en-US"/>
        </w:rPr>
        <w:t>«</w:t>
      </w:r>
      <w:r>
        <w:rPr>
          <w:rFonts w:ascii="PT Astra Serif" w:hAnsi="PT Astra Serif"/>
          <w:b/>
          <w:color w:val="000000"/>
          <w:sz w:val="28"/>
          <w:lang w:val="ru-RU"/>
        </w:rPr>
        <w:t>Алатырь</w:t>
      </w:r>
      <w:r>
        <w:rPr>
          <w:rFonts w:ascii="PT Astra Serif" w:hAnsi="PT Astra Serif"/>
          <w:b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в 2024 году одержал победу во 2-ом конкурсе Фонда Президентских грантов с проектом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Михайловское долголетие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на сумму более </w:t>
      </w:r>
      <w:r>
        <w:rPr>
          <w:rFonts w:ascii="PT Astra Serif" w:hAnsi="PT Astra Serif"/>
          <w:b/>
          <w:color w:val="000000"/>
          <w:sz w:val="28"/>
          <w:lang w:val="ru-RU"/>
        </w:rPr>
        <w:t xml:space="preserve">999,0 тыс.руб. </w:t>
      </w:r>
    </w:p>
    <w:p>
      <w:pPr>
        <w:pStyle w:val="Normal"/>
        <w:spacing w:lineRule="auto" w:line="240" w:before="100" w:after="10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Кроме того, ТОС 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«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Алатырь</w:t>
      </w:r>
      <w:r>
        <w:rPr>
          <w:rFonts w:ascii="PT Astra Serif" w:hAnsi="PT Astra Serif"/>
          <w:b w:val="false"/>
          <w:color w:val="00000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стал победителем в региональном конкурсе на предоставление грантов в форме субсидий из областного бюджета по обустройству детских площадок. Сумма гранта составила </w:t>
      </w:r>
      <w:r>
        <w:rPr>
          <w:rFonts w:ascii="PT Astra Serif" w:hAnsi="PT Astra Serif"/>
          <w:b/>
          <w:color w:val="000000"/>
          <w:sz w:val="28"/>
          <w:lang w:val="ru-RU"/>
        </w:rPr>
        <w:t>780,0 тыс. руб.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>Завершая свой доклад по итогам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 2024 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года, хочу отметить, что все достигнутые результаты свидетельствуют о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 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нашем неравнодушном отношении к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 </w:t>
      </w:r>
      <w:r>
        <w:rPr>
          <w:rFonts w:ascii="PT Astra Serif" w:hAnsi="PT Astra Serif"/>
          <w:b w:val="false"/>
          <w:color w:val="000000"/>
          <w:sz w:val="28"/>
          <w:lang w:val="ru-RU"/>
        </w:rPr>
        <w:t xml:space="preserve">району. 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000000"/>
          <w:sz w:val="28"/>
          <w:lang w:val="ru-RU"/>
        </w:rPr>
      </w:pPr>
      <w:r>
        <w:rPr>
          <w:rFonts w:ascii="PT Astra Serif" w:hAnsi="PT Astra Serif"/>
          <w:b w:val="false"/>
          <w:color w:val="000000"/>
          <w:sz w:val="28"/>
          <w:lang w:val="ru-RU"/>
        </w:rPr>
        <w:t>Выражаю искреннюю благодарность Губернатору Ульяновской области Русских А.Ю., Правительству Ульяновской области, депутату Законодательного собрания Ковелю В.В., депутатам всех уровней, жителям района, руководителям предприятий и</w:t>
      </w:r>
      <w:r>
        <w:rPr>
          <w:rFonts w:ascii="PT Astra Serif" w:hAnsi="PT Astra Serif"/>
          <w:b w:val="false"/>
          <w:color w:val="000000"/>
          <w:sz w:val="28"/>
          <w:lang w:val="en-US"/>
        </w:rPr>
        <w:t> </w:t>
      </w:r>
      <w:r>
        <w:rPr>
          <w:rFonts w:ascii="PT Astra Serif" w:hAnsi="PT Astra Serif"/>
          <w:b w:val="false"/>
          <w:color w:val="000000"/>
          <w:sz w:val="28"/>
          <w:lang w:val="ru-RU"/>
        </w:rPr>
        <w:t>организаций, представителям общественных организаций.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Уверен, наша сплоченность и настрой на успех позволят преодолеть любые трудности.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ru-RU"/>
        </w:rPr>
      </w:pPr>
      <w:r>
        <w:rPr>
          <w:rFonts w:ascii="PT Astra Serif" w:hAnsi="PT Astra Serif"/>
          <w:b w:val="false"/>
          <w:color w:val="auto"/>
          <w:sz w:val="28"/>
          <w:lang w:val="ru-RU"/>
        </w:rPr>
        <w:t>Работа ладится, когда есть команда. Надеюсь на общую совместную работу на благо нашего района.</w:t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en-US"/>
        </w:rPr>
      </w:pPr>
      <w:r>
        <w:rPr>
          <w:rFonts w:ascii="PT Astra Serif" w:hAnsi="PT Astra Serif"/>
          <w:b w:val="false"/>
          <w:color w:val="auto"/>
          <w:sz w:val="28"/>
          <w:lang w:val="en-US"/>
        </w:rPr>
      </w:r>
    </w:p>
    <w:p>
      <w:pPr>
        <w:pStyle w:val="Normal"/>
        <w:spacing w:lineRule="auto" w:line="240"/>
        <w:ind w:firstLine="709" w:start="0" w:end="0"/>
        <w:jc w:val="both"/>
        <w:rPr>
          <w:rFonts w:ascii="PT Astra Serif" w:hAnsi="PT Astra Serif"/>
          <w:b w:val="false"/>
          <w:color w:val="auto"/>
          <w:sz w:val="28"/>
          <w:lang w:val="en-US"/>
        </w:rPr>
      </w:pPr>
      <w:r>
        <w:rPr>
          <w:rFonts w:ascii="PT Astra Serif" w:hAnsi="PT Astra Serif"/>
          <w:b w:val="false"/>
          <w:color w:val="auto"/>
          <w:sz w:val="28"/>
          <w:lang w:val="en-US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Times New Roman CYR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LibreOffice/24.8.3.2$Linux_X86_64 LibreOffice_project/480$Build-2</Application>
  <AppVersion>15.0000</AppVersion>
  <Pages>17</Pages>
  <Words>5228</Words>
  <Characters>35622</Characters>
  <CharactersWithSpaces>41219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2025-03-21T11:30:38Z</dcterms:created>
  <dc:creator/>
  <dc:description/>
  <dc:language>ru-RU</dc:language>
  <cp:lastModifiedBy/>
  <dcterms:modified xsi:type="dcterms:W3CDTF">2025-04-02T11:22:49Z</dcterms:modified>
  <cp:revision>3</cp:revision>
  <dc:subject/>
  <dc:title/>
</cp:coreProperties>
</file>