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АДМИНИСТРАЦИЯ  МУНИЦИПАЛЬНОГО  ОБРАЗОВАНИЯ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«ТЕРЕНЬГУЛЬСКИЙ РАЙОН»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УЛЬЯНОВСКОЙ ОБЛАСТИ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color w:val="auto"/>
          <w:sz w:val="36"/>
          <w:szCs w:val="36"/>
        </w:rPr>
        <w:t>П О С Т А Н О В Л Е Н И Е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36"/>
          <w:szCs w:val="36"/>
        </w:rPr>
      </w:pPr>
      <w:r>
        <w:rPr>
          <w:rFonts w:cs="Times New Roman" w:ascii="PT Astra Serif" w:hAnsi="PT Astra Serif"/>
          <w:color w:val="auto"/>
          <w:sz w:val="36"/>
          <w:szCs w:val="36"/>
        </w:rPr>
      </w:r>
    </w:p>
    <w:p>
      <w:pPr>
        <w:pStyle w:val="NoSpacing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28.12.</w:t>
      </w:r>
      <w:r>
        <w:rPr>
          <w:rFonts w:cs="Times New Roman" w:ascii="PT Astra Serif" w:hAnsi="PT Astra Serif"/>
          <w:color w:val="auto"/>
          <w:sz w:val="28"/>
          <w:szCs w:val="28"/>
        </w:rPr>
        <w:t>202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г.                                                                               </w:t>
      </w:r>
      <w:r>
        <w:rPr>
          <w:rFonts w:cs="Times New Roman" w:ascii="PT Astra Serif" w:hAnsi="PT Astra Serif"/>
          <w:color w:val="auto"/>
          <w:sz w:val="24"/>
          <w:szCs w:val="24"/>
        </w:rPr>
        <w:t xml:space="preserve">№ </w:t>
      </w:r>
      <w:r>
        <w:rPr>
          <w:rFonts w:cs="Times New Roman" w:ascii="PT Astra Serif" w:hAnsi="PT Astra Serif"/>
          <w:color w:val="auto"/>
          <w:sz w:val="24"/>
          <w:szCs w:val="24"/>
          <w:u w:val="none"/>
        </w:rPr>
        <w:t>743</w:t>
      </w:r>
    </w:p>
    <w:p>
      <w:pPr>
        <w:pStyle w:val="NoSpacing"/>
        <w:rPr>
          <w:color w:val="auto"/>
        </w:rPr>
      </w:pPr>
      <w:r>
        <w:rPr>
          <w:rFonts w:cs="Times New Roman" w:ascii="PT Astra Serif" w:hAnsi="PT Astra Serif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PT Astra Serif" w:hAnsi="PT Astra Serif"/>
          <w:color w:val="auto"/>
          <w:sz w:val="24"/>
          <w:szCs w:val="24"/>
        </w:rPr>
        <w:t>Экз. №_____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4"/>
          <w:szCs w:val="24"/>
        </w:rPr>
      </w:pPr>
      <w:r>
        <w:rPr>
          <w:rFonts w:cs="Times New Roman" w:ascii="PT Astra Serif" w:hAnsi="PT Astra Serif"/>
          <w:color w:val="auto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р.п.Тереньга</w:t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</w:p>
    <w:p>
      <w:pPr>
        <w:pStyle w:val="NoSpacing"/>
        <w:jc w:val="center"/>
        <w:rPr>
          <w:color w:val="auto"/>
        </w:rPr>
      </w:pPr>
      <w:r>
        <w:rPr>
          <w:rFonts w:cs="Times New Roman" w:ascii="PT Astra Serif" w:hAnsi="PT Astra Serif"/>
          <w:b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«Тереньгульский район»  от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30.12.2021г.</w:t>
      </w:r>
      <w:r>
        <w:rPr>
          <w:rFonts w:cs="Times New Roman" w:ascii="PT Astra Serif" w:hAnsi="PT Astra Serif"/>
          <w:b/>
          <w:color w:val="auto"/>
          <w:sz w:val="28"/>
          <w:szCs w:val="28"/>
        </w:rPr>
        <w:t xml:space="preserve"> №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720</w:t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Администрация муниципального образования «Тереньгульский район»  п о с т а н о в л я е т: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 xml:space="preserve">1. Внести в постановление Администрации муниципального образования «Тереньгульский район» от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30.12.2021г. 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720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«Об утверждении муниципальной программы «Гражданское общество и национальная политика на территории муниципального образования «Тереньгульский район» Ульяновской области» следующие изменения: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 xml:space="preserve">1.1. 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Паспорт программы </w:t>
      </w:r>
      <w:bookmarkStart w:id="0" w:name="__DdeLink__1829_3192610725"/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изложить в следующей редакции:</w:t>
      </w:r>
      <w:bookmarkEnd w:id="0"/>
      <w:r>
        <w:br w:type="page"/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>«Паспорт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Times New Roman"/>
          <w:b/>
          <w:b/>
          <w:color w:val="auto"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</w:r>
    </w:p>
    <w:tbl>
      <w:tblPr>
        <w:tblW w:w="9414" w:type="dxa"/>
        <w:jc w:val="left"/>
        <w:tblInd w:w="-30" w:type="dxa"/>
        <w:tblLayout w:type="fixed"/>
        <w:tblCellMar>
          <w:top w:w="75" w:type="dxa"/>
          <w:left w:w="5" w:type="dxa"/>
          <w:bottom w:w="75" w:type="dxa"/>
          <w:right w:w="0" w:type="dxa"/>
        </w:tblCellMar>
      </w:tblPr>
      <w:tblGrid>
        <w:gridCol w:w="3131"/>
        <w:gridCol w:w="6282"/>
      </w:tblGrid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Муниципальная программа «Гражданское общество и национальная политика на территории муниципального образования «Тереньгульский район» Ульяновской области» (далее Программа)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Муниципальный заказчик муниципальной программы (Муниципальный заказчик - координатор муниципальной  программы)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 (далее — Администрация района)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shd w:val="clear" w:fill="FFFFFF"/>
              <w:spacing w:lineRule="atLeast" w:line="200" w:before="0" w:after="0"/>
              <w:ind w:left="80" w:hanging="0"/>
              <w:jc w:val="left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  <w:t>Соисполнители муниципальной  программы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Муниципальное учреждение Отдел образования муниципального образования «Тереньгульский район» Ульяновской области (далее -  МУ Отдел образования)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Times New Roman" w:ascii="PT Astra Serif;Times New Roman" w:hAnsi="PT Astra Serif;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Муниципальное учреждение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 xml:space="preserve"> Отдел по делам культуры и организации досуга населения муниципального образования «Тереньгульский район» Ульяновской области (далее - МУ Отдел культуры) (по согласованию)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shd w:val="clear" w:fill="FFFFFF"/>
              <w:spacing w:lineRule="atLeast" w:line="200" w:before="0" w:after="0"/>
              <w:ind w:left="80" w:hanging="0"/>
              <w:jc w:val="left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  <w:t>Подпрограммы муниципальной  программы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«Укрепление единства российской нации и этнокультурное развитие народов России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«Увековечение памяти погибших при защите Отечества».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shd w:val="clear" w:fill="FFFFFF"/>
              <w:spacing w:lineRule="atLeast" w:line="200" w:before="0" w:after="0"/>
              <w:ind w:left="80" w:hanging="0"/>
              <w:jc w:val="left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  <w:t>Проекты, реализуемые в составе муниципальной программы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Цели и задачи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851" w:hanging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Цели: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создание правовых, экономических и организационных условий для становления социально ориентированных некоммерческих организаций (далее – СО НКО);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укрепление гражданского единства многонационального народа Российской Федерации (российской нации)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содействие сохранению и развитию этнокультурного многообразия народов России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обеспечение права населения на получение и распространение информации на территории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увековечение памяти погибших при защите Отечества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Задачи: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развитие механизмов привлечения СО НКО к оказанию социальных услуг на конкурентной основе, а также конкурсного финансирования инновационных программ и проектов СО НКО;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развитие инфраструктуры поддержки СО НКО, в том числе содействие привлечению СО НКО труда добровольцев;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обеспечение открытости информации о государственной поддержке СО НКО;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гармонизация межнациональных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реализация комплексной информационной кампании, направленной на пропаганду укрепления единства российской нации на территории Тереньгульского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 xml:space="preserve">создание условий для этноконфессиональной  адаптации </w:t>
            </w:r>
            <w:r>
              <w:rPr>
                <w:rFonts w:eastAsia="Calibri" w:cs="Times New Roman" w:ascii="PT Astra Serif;Times New Roman" w:hAnsi="PT Astra Serif;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иностранных граждан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, прибывающих в Тереньгульском районе;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оперативное и достоверное информирование населения Тереньгульского района о социально-значимых событиях, происходящих на территории Тереньгульского района, его промышленном, экономическом, социальном и культурном развитии;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eastAsia="Times New Roman" w:cs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eastAsia="Times New Roman" w:cs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содействие в организации работ по проведению раскопок на местах боевых сражений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мероприятий, проведённых органами местного самоуправления муниципального образования «Тереньгульский район» с участием СО НКО;</w:t>
            </w:r>
          </w:p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 СО НКО, получивших субсидии из районного бюджета Тереньгульского района (далее – субсидии);</w:t>
            </w:r>
          </w:p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 информационных материалов, опубликованных в районной газете «Тереньгульские вести» и на официальном сайте муниципального образования «Тереньгульский район», освещающих деятельность СО НКО;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 занятых в СО НКО добровольцев (волонтёров) для реализации проектов;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социально-значимых мероприятий, направленных на повышение толерантного отношения жителей к представителям других национальностей;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многообразия;</w:t>
            </w:r>
          </w:p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политики;</w:t>
            </w:r>
          </w:p>
          <w:p>
            <w:pPr>
              <w:pStyle w:val="ConsPlusNormal"/>
              <w:widowControl w:val="false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Количество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благоустроенных воинских захоронений, мемориальных сооружений и объектов, увековечивающих память погибших при защите Отечества;</w:t>
            </w:r>
          </w:p>
          <w:p>
            <w:pPr>
              <w:pStyle w:val="ConsPlusNormal"/>
              <w:widowControl w:val="false"/>
              <w:jc w:val="both"/>
              <w:rPr>
                <w:highlight w:val="yellow"/>
              </w:rPr>
            </w:pP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Количество оказанных услуг по доставке поисковых отрядов на места боевых сражений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2022 - 2026 годы, этапы не предусмотрены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1 009,98 тыс.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 рублей (в ценах соответствующих лет), в том числе по годам за счет средств муниципального бюджета: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20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год —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217,18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 тыс. рублей;</w:t>
            </w:r>
          </w:p>
          <w:p>
            <w:pPr>
              <w:pStyle w:val="NoSpacing"/>
              <w:widowControl w:val="false"/>
              <w:jc w:val="both"/>
              <w:rPr>
                <w:color w:val="auto"/>
              </w:rPr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202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3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 год —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102,80 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тыс. рублей;</w:t>
            </w:r>
          </w:p>
          <w:p>
            <w:pPr>
              <w:pStyle w:val="NoSpacing"/>
              <w:widowControl w:val="false"/>
              <w:jc w:val="both"/>
              <w:rPr>
                <w:color w:val="auto"/>
              </w:rPr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202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 год —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115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,00 тыс. рублей;</w:t>
            </w:r>
          </w:p>
          <w:p>
            <w:pPr>
              <w:pStyle w:val="NoSpacing"/>
              <w:widowControl w:val="false"/>
              <w:jc w:val="both"/>
              <w:rPr>
                <w:color w:val="auto"/>
              </w:rPr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2025 год —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170,00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 тыс. рублей;</w:t>
            </w:r>
          </w:p>
          <w:p>
            <w:pPr>
              <w:pStyle w:val="NoSpacing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2026 год —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405,00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 тыс. рублей»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Ресурсное обеспечение проектов, реализуемых в составе муниципальной  программы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Не предусмотрено</w:t>
            </w:r>
          </w:p>
        </w:tc>
      </w:tr>
      <w:tr>
        <w:trPr/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eastAsia="PT Astra Serif;Times New Roman"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Ожидаемые результаты реализации муниципальной  программы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увеличение количества участников в социально значимых проектах и программах и получателей социальных услуг, оказываемых СО НКО населению муниципального образования «Тереньгульский район»;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рост уровня доверия населения к СО НКО;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увеличение количества СО НКО и субъектов предпринимательской деятельности, получивших в рамках программы финансовую поддержку;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увеличение доли граждан, оценивающих характер межнациональных отношений в муниципальном образовании «Тереньгульский район» как стабильные, добрососедские;</w:t>
            </w:r>
          </w:p>
          <w:p>
            <w:pPr>
              <w:pStyle w:val="ConsPlusNormal"/>
              <w:widowControl w:val="false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удовлетворение потребности в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благоустройстве воинских захоронений, мемориальных сооружений  и объектов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, увековечивающих память погибших при защите Отечества;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eastAsia="Times New Roman" w:cs="PT Astra Serif;Times New Roman"/>
                <w:color w:val="auto"/>
                <w:kern w:val="0"/>
                <w:sz w:val="28"/>
                <w:szCs w:val="28"/>
                <w:highlight w:val="yellow"/>
                <w:lang w:val="ru-RU" w:eastAsia="zh-CN" w:bidi="ar-SA"/>
              </w:rPr>
            </w:pP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проведение поисковых работ на местах боевых сражений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PT Astra Serif" w:hAnsi="PT Astra Serif" w:eastAsia="Calibri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»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 xml:space="preserve">1.2.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Строку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«Ресурсное обеспечение подпрограммы с разбивкой по годам реализации» паспорта муниципальной подпрограммы «Содействие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«Тереньгульский район» Ульяновской области» изложить в следующей редакции: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реализацию подпрограммы составляет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269,16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тыс.рублей, в том числе по годам: 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12,16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32,00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45,00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2025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cs="PT Astra Serif" w:ascii="PT Astra Serif" w:hAnsi="PT Astra Serif"/>
          <w:color w:val="auto"/>
          <w:sz w:val="28"/>
          <w:szCs w:val="28"/>
        </w:rPr>
        <w:t>5,00 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2026 год — 105,00 тыс.рублей».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1.3. В муниципальной подпрограмме «Укрепление единства российской нации и этнокультурное развитие народов России на территории муниципального образования «Тереньгульский район»:</w:t>
      </w:r>
    </w:p>
    <w:p>
      <w:pPr>
        <w:pStyle w:val="NoSpacing"/>
        <w:jc w:val="both"/>
        <w:rPr>
          <w:color w:val="auto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1.3.1. строку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«Ресурсное обеспечение подпрограммы с разбивкой по годам реализации» изложить в следующей редакции:</w:t>
      </w:r>
    </w:p>
    <w:p>
      <w:pPr>
        <w:pStyle w:val="NoSpacing"/>
        <w:jc w:val="both"/>
        <w:rPr/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499, 80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тыс.рублей, в том числе по годам:</w:t>
      </w:r>
    </w:p>
    <w:p>
      <w:pPr>
        <w:pStyle w:val="NoSpacing"/>
        <w:jc w:val="both"/>
        <w:rPr/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2022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64,00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3 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70,80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PT Astra Serif" w:ascii="PT Astra Serif" w:hAnsi="PT Astra Serif"/>
          <w:color w:val="auto"/>
          <w:sz w:val="28"/>
          <w:szCs w:val="28"/>
        </w:rPr>
        <w:t xml:space="preserve">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 xml:space="preserve">70,00 </w:t>
      </w:r>
      <w:r>
        <w:rPr>
          <w:rFonts w:cs="PT Astra Serif" w:ascii="PT Astra Serif" w:hAnsi="PT Astra Serif"/>
          <w:color w:val="auto"/>
          <w:sz w:val="28"/>
          <w:szCs w:val="28"/>
        </w:rPr>
        <w:t>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 xml:space="preserve">2025 год — </w:t>
      </w:r>
      <w:r>
        <w:rPr>
          <w:rFonts w:eastAsia="Calibri" w:cs="PT Astra Serif" w:ascii="PT Astra Serif" w:hAnsi="PT Astra Serif"/>
          <w:color w:val="auto"/>
          <w:kern w:val="0"/>
          <w:sz w:val="28"/>
          <w:szCs w:val="28"/>
          <w:lang w:val="ru-RU" w:eastAsia="en-US" w:bidi="ar-SA"/>
        </w:rPr>
        <w:t>95</w:t>
      </w:r>
      <w:r>
        <w:rPr>
          <w:rFonts w:cs="PT Astra Serif" w:ascii="PT Astra Serif" w:hAnsi="PT Astra Serif"/>
          <w:color w:val="auto"/>
          <w:sz w:val="28"/>
          <w:szCs w:val="28"/>
        </w:rPr>
        <w:t>,00 тыс.рублей;</w:t>
      </w:r>
    </w:p>
    <w:p>
      <w:pPr>
        <w:pStyle w:val="NoSpacing"/>
        <w:jc w:val="both"/>
        <w:rPr>
          <w:color w:val="auto"/>
        </w:rPr>
      </w:pPr>
      <w:r>
        <w:rPr>
          <w:rFonts w:cs="PT Astra Serif" w:ascii="PT Astra Serif" w:hAnsi="PT Astra Serif"/>
          <w:color w:val="auto"/>
          <w:sz w:val="28"/>
          <w:szCs w:val="28"/>
        </w:rPr>
        <w:tab/>
        <w:t>2026 год — 200,00 тыс.рублей».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1.3.2. строку «Цели и задачи подпрограммы» изложить в следующей редакции: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«</w:t>
      </w: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>Цели: укрепление гражданского единства многонационального народа Российской Федерации (российской нации) на территории муниципального образования «Тереньгульский район»;</w:t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>
          <w:rFonts w:cs="PT Astra Serif;Times New Roman" w:ascii="PT Astra Serif;Times New Roman" w:hAnsi="PT Astra Serif;Times New Roman"/>
          <w:color w:val="auto"/>
          <w:sz w:val="28"/>
          <w:szCs w:val="28"/>
          <w:lang w:eastAsia="ru-RU"/>
        </w:rPr>
        <w:t>успешная социальная и культурная адаптация иностранных граждан в муниципальном образовании «Тереньгульский район» Ульяновской области и их интеграция в российское общество;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>содействие сохранению и развитию этнокультурного многообразия народов России на территории муниципального образования «Тереньгульский район».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>Задачи: гармонизация межнациональных отношений;</w:t>
      </w:r>
    </w:p>
    <w:p>
      <w:pPr>
        <w:pStyle w:val="Normal"/>
        <w:spacing w:lineRule="auto" w:line="240" w:before="0" w:after="0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>реализация комплексной информационной кампании, направленной на пропаганду укрепления единства российской нации на территории муниципального образования «Тереньгульский район»;</w:t>
      </w:r>
    </w:p>
    <w:p>
      <w:pPr>
        <w:pStyle w:val="Normal"/>
        <w:widowControl w:val="false"/>
        <w:spacing w:lineRule="auto" w:line="240" w:before="0" w:after="0"/>
        <w:jc w:val="both"/>
        <w:rPr>
          <w:color w:val="auto"/>
        </w:rPr>
      </w:pPr>
      <w:r>
        <w:rPr>
          <w:rFonts w:cs="PT Astra Serif;Times New Roman" w:ascii="PT Astra Serif;Times New Roman" w:hAnsi="PT Astra Serif;Times New Roman"/>
          <w:color w:val="auto"/>
          <w:sz w:val="28"/>
          <w:szCs w:val="28"/>
          <w:lang w:eastAsia="ru-RU"/>
        </w:rPr>
        <w:t xml:space="preserve">содействие социальной и культурной адаптации иностранных граждан в </w:t>
      </w:r>
      <w:r>
        <w:rPr>
          <w:rFonts w:cs="Times New Roman" w:ascii="PT Astra Serif;Times New Roman" w:hAnsi="PT Astra Serif;Times New Roman"/>
          <w:color w:val="auto"/>
          <w:sz w:val="28"/>
          <w:szCs w:val="28"/>
        </w:rPr>
        <w:t xml:space="preserve">муниципальном образовании «Тереньгульский район» </w:t>
      </w:r>
      <w:r>
        <w:rPr>
          <w:rFonts w:cs="PT Astra Serif;Times New Roman" w:ascii="PT Astra Serif;Times New Roman" w:hAnsi="PT Astra Serif;Times New Roman"/>
          <w:color w:val="auto"/>
          <w:sz w:val="28"/>
          <w:szCs w:val="28"/>
          <w:lang w:eastAsia="ru-RU"/>
        </w:rPr>
        <w:t>Ульяновской области и их интеграции в российское общество;</w:t>
      </w:r>
    </w:p>
    <w:p>
      <w:pPr>
        <w:pStyle w:val="Normal"/>
        <w:spacing w:lineRule="auto" w:line="228" w:before="0" w:after="0"/>
        <w:jc w:val="both"/>
        <w:rPr>
          <w:color w:val="auto"/>
        </w:rPr>
      </w:pPr>
      <w:r>
        <w:rPr>
          <w:rFonts w:cs="PT Astra Serif;Times New Roman" w:ascii="PT Astra Serif;Times New Roman" w:hAnsi="PT Astra Serif;Times New Roman"/>
          <w:color w:val="auto"/>
          <w:sz w:val="28"/>
          <w:szCs w:val="28"/>
          <w:lang w:eastAsia="ru-RU"/>
        </w:rPr>
        <w:t>принятие мер по профилактике распространения идеологии экстремизма, мер по содействию этнокультурной адаптации иностранных граждан и мер по укреплению статуса русского языка как государственного языка Российской Федерации и как языка межнационального общения;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 xml:space="preserve">создание условий для адаптации и интеграции 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иностранных граждан</w:t>
      </w:r>
      <w:r>
        <w:rPr>
          <w:rFonts w:cs="Times New Roman" w:ascii="PT Astra Serif" w:hAnsi="PT Astra Serif"/>
          <w:color w:val="auto"/>
          <w:sz w:val="28"/>
          <w:szCs w:val="28"/>
        </w:rPr>
        <w:t>, прибывающих на территорию муниципального образования «Тереньгульский район».»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 xml:space="preserve">1.4. Паспорт муниципальной подпрограммы </w:t>
      </w:r>
      <w:r>
        <w:rPr>
          <w:rFonts w:cs="Times New Roman" w:ascii="PT Astra Serif;Times New Roman" w:hAnsi="PT Astra Serif;Times New Roman"/>
          <w:b w:val="false"/>
          <w:bCs w:val="false"/>
          <w:color w:val="auto"/>
          <w:sz w:val="28"/>
          <w:szCs w:val="28"/>
        </w:rPr>
        <w:t>«У</w:t>
      </w:r>
      <w:r>
        <w:rPr>
          <w:rFonts w:cs="PT Astra Serif;Times New Roman" w:ascii="PT Astra Serif;Times New Roman" w:hAnsi="PT Astra Serif;Times New Roman"/>
          <w:b w:val="false"/>
          <w:bCs w:val="false"/>
          <w:color w:val="auto"/>
          <w:sz w:val="28"/>
          <w:szCs w:val="28"/>
        </w:rPr>
        <w:t>вековечение памяти погибших при защите Отечества</w:t>
      </w:r>
      <w:r>
        <w:rPr>
          <w:rFonts w:cs="Times New Roman" w:ascii="PT Astra Serif;Times New Roman" w:hAnsi="PT Astra Serif;Times New Roman"/>
          <w:b w:val="false"/>
          <w:bCs w:val="false"/>
          <w:color w:val="auto"/>
          <w:sz w:val="28"/>
          <w:szCs w:val="28"/>
        </w:rPr>
        <w:t xml:space="preserve">» </w:t>
      </w: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изложить в следующей редакции:</w:t>
      </w:r>
    </w:p>
    <w:p>
      <w:pPr>
        <w:pStyle w:val="ConsPlusNormal"/>
        <w:jc w:val="center"/>
        <w:rPr>
          <w:rFonts w:ascii="PT Astra Serif;Times New Roman" w:hAnsi="PT Astra Serif;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bCs/>
          <w:color w:val="auto"/>
          <w:sz w:val="28"/>
          <w:szCs w:val="28"/>
        </w:rPr>
      </w:r>
    </w:p>
    <w:p>
      <w:pPr>
        <w:pStyle w:val="ConsPlusNormal"/>
        <w:jc w:val="center"/>
        <w:rPr>
          <w:color w:val="auto"/>
        </w:rPr>
      </w:pPr>
      <w:r>
        <w:rPr>
          <w:rFonts w:cs="Times New Roman" w:ascii="PT Astra Serif;Times New Roman" w:hAnsi="PT Astra Serif;Times New Roman"/>
          <w:b/>
          <w:bCs/>
          <w:color w:val="auto"/>
          <w:sz w:val="28"/>
          <w:szCs w:val="28"/>
        </w:rPr>
        <w:t>«Паспорт муниципальной подпрограммы</w:t>
      </w:r>
      <w:r>
        <w:rPr>
          <w:rFonts w:cs="PT Astra Serif;Times New Roman" w:ascii="PT Astra Serif;Times New Roman" w:hAnsi="PT Astra Serif;Times New Roman"/>
          <w:b/>
          <w:bCs/>
          <w:color w:val="auto"/>
          <w:sz w:val="28"/>
          <w:szCs w:val="28"/>
        </w:rPr>
        <w:t xml:space="preserve"> </w:t>
      </w:r>
      <w:r>
        <w:rPr>
          <w:rFonts w:cs="Times New Roman" w:ascii="PT Astra Serif;Times New Roman" w:hAnsi="PT Astra Serif;Times New Roman"/>
          <w:b/>
          <w:bCs/>
          <w:color w:val="auto"/>
          <w:sz w:val="28"/>
          <w:szCs w:val="28"/>
        </w:rPr>
        <w:t>«У</w:t>
      </w:r>
      <w:r>
        <w:rPr>
          <w:rFonts w:cs="PT Astra Serif;Times New Roman" w:ascii="PT Astra Serif;Times New Roman" w:hAnsi="PT Astra Serif;Times New Roman"/>
          <w:b/>
          <w:bCs/>
          <w:color w:val="auto"/>
          <w:sz w:val="28"/>
          <w:szCs w:val="28"/>
        </w:rPr>
        <w:t>вековечение памяти погибших при защите Отечества</w:t>
      </w:r>
      <w:r>
        <w:rPr>
          <w:rFonts w:cs="Times New Roman" w:ascii="PT Astra Serif;Times New Roman" w:hAnsi="PT Astra Serif;Times New Roman"/>
          <w:b/>
          <w:bCs/>
          <w:color w:val="auto"/>
          <w:sz w:val="28"/>
          <w:szCs w:val="28"/>
        </w:rPr>
        <w:t>»</w:t>
      </w:r>
    </w:p>
    <w:p>
      <w:pPr>
        <w:pStyle w:val="ConsPlusNormal"/>
        <w:jc w:val="center"/>
        <w:rPr>
          <w:rFonts w:ascii="PT Astra Serif;Times New Roman" w:hAnsi="PT Astra Serif;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bCs/>
          <w:color w:val="auto"/>
          <w:sz w:val="28"/>
          <w:szCs w:val="28"/>
        </w:rPr>
      </w:r>
    </w:p>
    <w:tbl>
      <w:tblPr>
        <w:tblW w:w="914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877"/>
      </w:tblGrid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Наименование  подпрограммы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«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Увековечение памяти погибших при защите Отечества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» (далее – подпрограмма).</w:t>
            </w:r>
          </w:p>
        </w:tc>
      </w:tr>
      <w:tr>
        <w:trPr>
          <w:trHeight w:val="50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</w:tr>
      <w:tr>
        <w:trPr>
          <w:trHeight w:val="507" w:hRule="atLeast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Не предусмотрены</w:t>
            </w:r>
          </w:p>
        </w:tc>
      </w:tr>
      <w:tr>
        <w:trPr>
          <w:trHeight w:val="507" w:hRule="atLeast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Проекты, реализуемые в составе подпрограммы</w:t>
            </w:r>
          </w:p>
        </w:tc>
        <w:tc>
          <w:tcPr>
            <w:tcW w:w="6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Не предусмотрены</w:t>
            </w:r>
          </w:p>
        </w:tc>
      </w:tr>
      <w:tr>
        <w:trPr>
          <w:trHeight w:val="23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Цели: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- увековечение памяти погибших при защите Отечества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.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Задачи:</w:t>
            </w:r>
          </w:p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</w:t>
            </w:r>
          </w:p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- содействие в организации работ по проведению раскопок на местах боевых сражений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Количество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благоустроенных воинских захоронений, мемориальных сооружений и объектов, увековечивающих память погибших при защите Отечества (единиц);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Количество оказанных услуг по доставке поисковых отрядов на места боевых сражений (единиц)</w:t>
            </w:r>
          </w:p>
        </w:tc>
      </w:tr>
      <w:tr>
        <w:trPr>
          <w:trHeight w:val="179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2022-2026 годы, этапы не предусмотрены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Ресурсное обеспечение подпрограммы с разбивкой по годам  реализации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бщий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241,02 </w:t>
            </w:r>
            <w:bookmarkStart w:id="1" w:name="__DdeLink__6211_2955774196"/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тыс.рублей, в том числе по годам: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2022 год —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141,02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 тыс.рублей;</w:t>
            </w:r>
          </w:p>
          <w:p>
            <w:pPr>
              <w:pStyle w:val="NoSpacing"/>
              <w:widowControl w:val="false"/>
              <w:jc w:val="left"/>
              <w:rPr>
                <w:color w:val="auto"/>
              </w:rPr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202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год —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0,00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 тыс.рублей;</w:t>
            </w:r>
          </w:p>
          <w:p>
            <w:pPr>
              <w:pStyle w:val="NoSpacing"/>
              <w:widowControl w:val="false"/>
              <w:jc w:val="left"/>
              <w:rPr>
                <w:color w:val="auto"/>
              </w:rPr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202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 год —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0,00 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тыс.рублей;</w:t>
            </w:r>
          </w:p>
          <w:p>
            <w:pPr>
              <w:pStyle w:val="NoSpacing"/>
              <w:widowControl w:val="false"/>
              <w:jc w:val="left"/>
              <w:rPr>
                <w:color w:val="auto"/>
              </w:rPr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 xml:space="preserve">2025 год — 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,00 тыс.рублей;</w:t>
            </w:r>
          </w:p>
          <w:p>
            <w:pPr>
              <w:pStyle w:val="NoSpacing"/>
              <w:widowControl w:val="false"/>
              <w:jc w:val="left"/>
              <w:rPr>
                <w:color w:val="auto"/>
              </w:rPr>
            </w:pPr>
            <w:r>
              <w:rPr>
                <w:rFonts w:cs="PT Astra Serif" w:ascii="PT Astra Serif" w:hAnsi="PT Astra Serif"/>
                <w:color w:val="auto"/>
                <w:sz w:val="28"/>
                <w:szCs w:val="28"/>
              </w:rPr>
              <w:t>2026 год — 100,00 тыс.рублей».</w:t>
            </w:r>
            <w:bookmarkEnd w:id="1"/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ind w:left="34" w:hanging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Ожидаемый эффект от реализации подпрограммы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удовлетворение потребности в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благоустройстве воинских захоронений, мемориальных сооружений  и объектов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, увековечивающих память погибших при защите Отечества;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eastAsia="Times New Roman" w:cs="PT Astra Serif;Times New Roman"/>
                <w:color w:val="auto"/>
                <w:kern w:val="0"/>
                <w:sz w:val="28"/>
                <w:szCs w:val="28"/>
                <w:highlight w:val="yellow"/>
                <w:lang w:val="ru-RU" w:eastAsia="zh-CN" w:bidi="ar-SA"/>
              </w:rPr>
            </w:pP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проведение поисковых работ на местах боевых сражений</w:t>
            </w:r>
          </w:p>
        </w:tc>
      </w:tr>
    </w:tbl>
    <w:p>
      <w:pPr>
        <w:pStyle w:val="ConsPlusNormal"/>
        <w:widowControl w:val="false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»</w:t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. Приложение 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к муниципальной программе изложить в следующей редакции:</w:t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740" w:header="0" w:top="1134" w:footer="1134" w:bottom="168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tbl>
      <w:tblPr>
        <w:tblW w:w="145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03"/>
        <w:gridCol w:w="6466"/>
      </w:tblGrid>
      <w:tr>
        <w:trPr/>
        <w:tc>
          <w:tcPr>
            <w:tcW w:w="8103" w:type="dxa"/>
            <w:tcBorders/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66" w:type="dxa"/>
            <w:tcBorders/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«Приложение   № 1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к муниципальной программе</w:t>
            </w:r>
          </w:p>
        </w:tc>
      </w:tr>
    </w:tbl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Times New Roman"/>
          <w:b/>
          <w:b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>Целевые индикаторы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Times New Roman"/>
          <w:b/>
          <w:b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>«Гражданское общество и национальная политика в муниципальном образовании «Тереньгульский район»  Ульяновской области»</w:t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color w:val="auto"/>
        </w:rPr>
      </w:pPr>
      <w:r>
        <w:rPr>
          <w:rFonts w:cs="PT Astra Serif;Times New Roman" w:ascii="PT Astra Serif;Times New Roman" w:hAnsi="PT Astra Serif;Times New Roman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color w:val="auto"/>
        </w:rPr>
      </w:pPr>
      <w:r>
        <w:rPr>
          <w:rFonts w:cs="PT Astra Serif;Times New Roman" w:ascii="PT Astra Serif;Times New Roman" w:hAnsi="PT Astra Serif;Times New Roman"/>
          <w:color w:val="auto"/>
        </w:rPr>
      </w:r>
    </w:p>
    <w:tbl>
      <w:tblPr>
        <w:tblW w:w="14257" w:type="dxa"/>
        <w:jc w:val="left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30"/>
        <w:gridCol w:w="61"/>
        <w:gridCol w:w="1755"/>
        <w:gridCol w:w="1537"/>
        <w:gridCol w:w="800"/>
        <w:gridCol w:w="737"/>
        <w:gridCol w:w="799"/>
        <w:gridCol w:w="41"/>
        <w:gridCol w:w="837"/>
        <w:gridCol w:w="40"/>
        <w:gridCol w:w="788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Целевой показатель (индикатор)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00" w:before="0" w:after="200"/>
              <w:jc w:val="center"/>
              <w:rPr>
                <w:rFonts w:ascii="PT Astra Serif;Times New Roman" w:hAnsi="PT Astra Serif;Times New Roman" w:cs="PT Astra Serif;Times New Roman"/>
                <w:b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kern w:val="2"/>
                <w:sz w:val="24"/>
                <w:szCs w:val="24"/>
                <w:lang w:eastAsia="hi-IN" w:bidi="hi-IN"/>
              </w:rPr>
              <w:t>Базовое значение целевого индикатора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2024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2026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9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6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9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14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 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мероприятий, проведённых органами местного самоуправления муниципального образования «Тереньгульский район» с участием социально ориентированных некоммерческих организаций (далее – СО НКО)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СО НКО, получивших субсидии из бюджета муниципального образования «Тереньгульский район»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информационных материалов, опубликованных в газете «Тереньгульские вести» и на официальном сайте муниципального образования «Тереньгульский район», освещающих деятельность СО НКО;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занятых в СО НКО добровольцев (волонтёров) для реализации проектов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4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Ульяновской области»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</w:t>
            </w:r>
          </w:p>
          <w:p>
            <w:pPr>
              <w:pStyle w:val="ConsPlusNormal"/>
              <w:widowControl w:val="false"/>
              <w:rPr>
                <w:rFonts w:ascii="PT Astra Serif;Times New Roman" w:hAnsi="PT Astra Serif;Times New Roman" w:cs="PT Astra Serif;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 (публикации)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PT Astra Serif;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4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b/>
                <w:bCs/>
                <w:color w:val="auto"/>
                <w:sz w:val="28"/>
                <w:szCs w:val="28"/>
              </w:rPr>
              <w:t>Подпрограмма «У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8"/>
                <w:szCs w:val="28"/>
              </w:rPr>
              <w:t>вековечение памяти погибших при защите Отечества</w:t>
            </w:r>
            <w:r>
              <w:rPr>
                <w:rFonts w:cs="Times New Roman" w:ascii="PT Astra Serif;Times New Roman" w:hAnsi="PT Astra Serif;Times New Roman"/>
                <w:b/>
                <w:bCs/>
                <w:color w:val="auto"/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Количество благоустроенных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Количество оказанных услуг по доставке поисковых  отрядов на места боевых сражений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color w:val="auto"/>
          <w:sz w:val="28"/>
          <w:szCs w:val="28"/>
        </w:rPr>
      </w:pPr>
      <w:r>
        <w:rPr>
          <w:rFonts w:cs="PT Astra Serif;Times New Roman" w:ascii="PT Astra Serif;Times New Roman" w:hAnsi="PT Astra Serif;Times New Roman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tabs>
          <w:tab w:val="clear" w:pos="709"/>
          <w:tab w:val="left" w:pos="735" w:leader="none"/>
          <w:tab w:val="left" w:pos="3480" w:leader="none"/>
        </w:tabs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6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.  Приложение 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к муниципальной программе изложить в следующей редакции:</w:t>
      </w:r>
    </w:p>
    <w:p>
      <w:pPr>
        <w:pStyle w:val="NoSpacing"/>
        <w:tabs>
          <w:tab w:val="clear" w:pos="709"/>
          <w:tab w:val="left" w:pos="735" w:leader="none"/>
          <w:tab w:val="left" w:pos="3480" w:leader="none"/>
        </w:tabs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tabs>
          <w:tab w:val="clear" w:pos="709"/>
          <w:tab w:val="left" w:pos="735" w:leader="none"/>
          <w:tab w:val="left" w:pos="3480" w:leader="none"/>
        </w:tabs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tabs>
          <w:tab w:val="clear" w:pos="709"/>
          <w:tab w:val="left" w:pos="735" w:leader="none"/>
          <w:tab w:val="left" w:pos="3480" w:leader="none"/>
        </w:tabs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sectPr>
          <w:footerReference w:type="even" r:id="rId5"/>
          <w:footerReference w:type="default" r:id="rId6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Spacing"/>
        <w:tabs>
          <w:tab w:val="clear" w:pos="709"/>
          <w:tab w:val="left" w:pos="735" w:leader="none"/>
          <w:tab w:val="left" w:pos="3480" w:leader="none"/>
        </w:tabs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tbl>
      <w:tblPr>
        <w:tblW w:w="145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02"/>
        <w:gridCol w:w="6467"/>
      </w:tblGrid>
      <w:tr>
        <w:trPr/>
        <w:tc>
          <w:tcPr>
            <w:tcW w:w="8102" w:type="dxa"/>
            <w:tcBorders/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67" w:type="dxa"/>
            <w:tcBorders/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«Приложение   №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к муниципальной программе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>Методика</w:t>
      </w:r>
    </w:p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Times New Roman"/>
          <w:b/>
          <w:b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 xml:space="preserve">сбора исходной информации и расчёта целевых индикаторов, ожидаемого эффекта муниципальной программы 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PT Astra Serif;Times New Roman" w:hAnsi="PT Astra Serif;Times New Roman"/>
          <w:b/>
          <w:color w:val="auto"/>
          <w:sz w:val="28"/>
          <w:szCs w:val="28"/>
        </w:rPr>
        <w:t>«Гражданское общество и национальная политика в муниципальном образовании «Тереньгульский район» Ульяновской области»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;Times New Roman" w:hAnsi="PT Astra Serif;Times New Roman" w:cs="Times New Roman"/>
          <w:b/>
          <w:b/>
          <w:strike/>
          <w:color w:val="auto"/>
          <w:sz w:val="28"/>
          <w:szCs w:val="28"/>
        </w:rPr>
      </w:pPr>
      <w:r>
        <w:rPr>
          <w:rFonts w:cs="Times New Roman" w:ascii="PT Astra Serif;Times New Roman" w:hAnsi="PT Astra Serif;Times New Roman"/>
          <w:b/>
          <w:strike/>
          <w:color w:val="auto"/>
          <w:sz w:val="28"/>
          <w:szCs w:val="28"/>
        </w:rPr>
      </w:r>
    </w:p>
    <w:tbl>
      <w:tblPr>
        <w:tblW w:w="14815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49"/>
        <w:gridCol w:w="4920"/>
        <w:gridCol w:w="3745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№</w:t>
            </w:r>
            <w:r>
              <w:rPr>
                <w:rFonts w:eastAsia="PT Astra Serif;Times New Roman" w:cs="PT Astra Serif;Times New Roman" w:ascii="PT Astra Serif;Times New Roman" w:hAnsi="PT Astra Serif;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Методика расчёта целевого индикатора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4"/>
                <w:szCs w:val="24"/>
              </w:rPr>
              <w:t>Источник данных для расчёта</w:t>
            </w:r>
          </w:p>
        </w:tc>
      </w:tr>
      <w:tr>
        <w:trPr/>
        <w:tc>
          <w:tcPr>
            <w:tcW w:w="1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Муниципальная 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 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мероприятий, проведённых органами местного самоуправления муниципального образования «Тереньгульский район» с участием социально ориентированных некоммерческих организаций (далее – СО НКО)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мероприятий, проведённых органами местного самоуправления муниципального образования «Тереньгульский район» с участием СО НКО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Сводная информация, получаемая от органов местного самоуправления муниципального образования «Тереньгульский район»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СО НКО, получивших субсидии из бюджета муниципального образования «Тереньгульский район»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СО НКО, получивших субсидии из бюджета муниципального образования «Тереньгульский район»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Фактические данные о заключенных соглашениях с СО НКО о предоставлении субсидий из бюджета муниципального образования «Тереньгульский район»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информационных материалов, опубликованных в газете «Тереньгульские вести» и на официальном сайте муниципального образования «Тереньгульский район», освещающих деятельность СО НКО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информационных материалов, опубликованных в газете «Тереньгульские вести» и на официальном сайте муниципального образования «Тереньгульский район», освещающих деятельность СО НКО, за отчётный период + количество информационных материалов, опубликованных в газете «Тереньгульские вести» и на официальном сайте муниципального образования «Тереньгульский район», освещающих деятельность СО НКО в предыдущий отчётному году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информационных материалов, опубликованных в газете «Тереньгульские вести» и на официальном сайте муниципального образования «Тереньгульский район», освещающих деятельность СО НКО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привлечённых СО НКО добровольцев (волонтёров) для реализации проектов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привлечённых СО НКО добровольцев (волонтёров) для реализации проектов на территории муниципального образования «Тереньгульский район»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Сводная информация о количестве участников в социально значимых проектах и программах и получателей социальных услуг, полученная из отчётов СО НКО</w:t>
            </w:r>
          </w:p>
        </w:tc>
      </w:tr>
      <w:tr>
        <w:trPr/>
        <w:tc>
          <w:tcPr>
            <w:tcW w:w="1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Муниципальная 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Ульяновской области 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 xml:space="preserve">Суммарное количество </w:t>
            </w:r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 xml:space="preserve">проведенных 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Отчет об итогах проведения социально-значимых мероприятий, направленных на повышение толерантного отношения жителей района к представителям другой национальности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</w:t>
            </w:r>
          </w:p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Протоколы проведенных «круглых столов» с участием представителей местных отделений национально-культурных автономий, представителей различных конфессий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Протоколы выездных заседаний Совета национальностей при главе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 xml:space="preserve">Отчет об итогах 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ind w:firstLine="709"/>
              <w:jc w:val="both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Суммарное количество информационных материалов размещенных в средствах массовой информации (публикаций о событиях, памятных датах, мероприятиях этноконфессиональной направленности)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>Сводная информация, полученная от органов местного самоуправления муниципального образования «Тереньгульский район»</w:t>
            </w:r>
          </w:p>
        </w:tc>
      </w:tr>
      <w:tr>
        <w:trPr/>
        <w:tc>
          <w:tcPr>
            <w:tcW w:w="1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Муниципальная подпрограмма «У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8"/>
                <w:szCs w:val="28"/>
              </w:rPr>
              <w:t>вековечение памяти погибших при защите Отечества»</w:t>
            </w:r>
            <w:r>
              <w:rPr>
                <w:rFonts w:cs="Times New Roman" w:ascii="PT Astra Serif;Times New Roman" w:hAnsi="PT Astra Serif;Times New Roman"/>
                <w:b/>
                <w:color w:val="auto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/>
                <w:bCs/>
                <w:color w:val="auto"/>
                <w:sz w:val="28"/>
                <w:szCs w:val="28"/>
              </w:rPr>
            </w:r>
          </w:p>
        </w:tc>
      </w:tr>
      <w:tr>
        <w:trPr>
          <w:trHeight w:val="164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Количество благоустроенных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 xml:space="preserve">Суммарное количество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благоустроенных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>мест захоронени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й,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 xml:space="preserve">Отчет о 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проведённых мероприятиях при  участии органов местного самоуправления муниципального образования «Тереньгульский район»</w:t>
            </w:r>
          </w:p>
        </w:tc>
      </w:tr>
      <w:tr>
        <w:trPr>
          <w:trHeight w:val="181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8"/>
                <w:szCs w:val="28"/>
              </w:rPr>
              <w:t>Количество оказанных услуг по доставке поисковых отрядов на места боевых сражений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8"/>
                <w:szCs w:val="28"/>
              </w:rPr>
              <w:t xml:space="preserve">Суммарное количество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выездов поисковых отрядов на места боевых сражений с целью проведения раскопок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PT Astra Serif;Times New Roman" w:hAnsi="PT Astra Serif;Times New Roman"/>
                <w:bCs/>
                <w:color w:val="auto"/>
                <w:sz w:val="28"/>
                <w:szCs w:val="28"/>
              </w:rPr>
              <w:t xml:space="preserve">Отчет о </w:t>
            </w:r>
            <w:r>
              <w:rPr>
                <w:rFonts w:cs="Times New Roman" w:ascii="PT Astra Serif;Times New Roman" w:hAnsi="PT Astra Serif;Times New Roman"/>
                <w:color w:val="auto"/>
                <w:sz w:val="28"/>
                <w:szCs w:val="28"/>
              </w:rPr>
              <w:t xml:space="preserve"> проведённых мероприятиях при  участии органов местного самоуправления муниципального образования «Тереньгульский район»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PT Astra Serif;Times New Roman" w:hAnsi="PT Astra Serif;Times New Roman" w:cs="PT Astra Serif;Times New Roman"/>
          <w:color w:val="auto"/>
          <w:sz w:val="24"/>
          <w:szCs w:val="24"/>
        </w:rPr>
      </w:pPr>
      <w:r>
        <w:rPr>
          <w:rFonts w:cs="PT Astra Serif;Times New Roman" w:ascii="PT Astra Serif;Times New Roman" w:hAnsi="PT Astra Serif;Times New Roman"/>
          <w:color w:val="auto"/>
          <w:sz w:val="24"/>
          <w:szCs w:val="24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1.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. Приложение №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к муниципальной программе изложить в следующей редакции:</w:t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sectPr>
          <w:footerReference w:type="even" r:id="rId7"/>
          <w:footerReference w:type="default" r:id="rId8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tbl>
      <w:tblPr>
        <w:tblW w:w="145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02"/>
        <w:gridCol w:w="6467"/>
      </w:tblGrid>
      <w:tr>
        <w:trPr/>
        <w:tc>
          <w:tcPr>
            <w:tcW w:w="8102" w:type="dxa"/>
            <w:tcBorders/>
            <w:shd w:fill="auto" w:val="clear"/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6467" w:type="dxa"/>
            <w:tcBorders/>
            <w:shd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«Приложение   №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3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к муниципальной программе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СИСТЕМА МЕРОПРИЯТИЙ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муниципальной программы «Гражданское общество и национальная политика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 xml:space="preserve">на территории </w:t>
      </w:r>
    </w:p>
    <w:p>
      <w:pPr>
        <w:pStyle w:val="Normal"/>
        <w:spacing w:lineRule="auto" w:line="240" w:before="0" w:after="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муниципального образования «Тереньгульский район» Ульяновской области  </w:t>
      </w:r>
    </w:p>
    <w:tbl>
      <w:tblPr>
        <w:tblW w:w="14625" w:type="dxa"/>
        <w:jc w:val="left"/>
        <w:tblInd w:w="-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72"/>
        <w:gridCol w:w="12"/>
        <w:gridCol w:w="2005"/>
        <w:gridCol w:w="1756"/>
        <w:gridCol w:w="629"/>
        <w:gridCol w:w="629"/>
        <w:gridCol w:w="556"/>
        <w:gridCol w:w="617"/>
        <w:gridCol w:w="12"/>
        <w:gridCol w:w="1980"/>
        <w:gridCol w:w="1366"/>
        <w:gridCol w:w="901"/>
        <w:gridCol w:w="750"/>
        <w:gridCol w:w="674"/>
        <w:gridCol w:w="743"/>
        <w:gridCol w:w="6"/>
        <w:gridCol w:w="714"/>
        <w:gridCol w:w="7"/>
        <w:gridCol w:w="796"/>
      </w:tblGrid>
      <w:tr>
        <w:trPr>
          <w:trHeight w:val="70" w:hRule="atLeast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№</w:t>
            </w:r>
            <w:r>
              <w:rPr>
                <w:rFonts w:eastAsia="PT Astra Serif;Times New Roman"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проекта, основного мероприятия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(мероприятия)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Срок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Контрольное событие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Наименование</w:t>
              <w:br/>
              <w:t>целевого</w:t>
              <w:br/>
              <w:t>индикатора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Объём финансового обеспечения реализации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мероприятий по годам, тыс. руб.</w:t>
            </w:r>
          </w:p>
        </w:tc>
      </w:tr>
      <w:tr>
        <w:trPr>
          <w:trHeight w:val="349" w:hRule="atLeast"/>
        </w:trPr>
        <w:tc>
          <w:tcPr>
            <w:tcW w:w="4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2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Нача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окон-чания</w:t>
            </w:r>
          </w:p>
        </w:tc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ind w:left="-12" w:hanging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Ульяновской области»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Cs/>
                <w:iCs/>
                <w:color w:val="auto"/>
                <w:spacing w:val="-2"/>
                <w:sz w:val="20"/>
                <w:szCs w:val="20"/>
              </w:rPr>
              <w:t>Цель подпрограммы:</w:t>
            </w:r>
            <w:r>
              <w:rPr>
                <w:rFonts w:cs="PT Astra Serif;Times New Roman" w:ascii="PT Astra Serif;Times New Roman" w:hAnsi="PT Astra Serif;Times New Roman"/>
                <w:bCs/>
                <w:color w:val="auto"/>
                <w:spacing w:val="-2"/>
                <w:sz w:val="20"/>
                <w:szCs w:val="20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создание правовых, экономических и организационных условий для дальнейшего становления социально ориентированных некоммерческих организаций (далее – СО НКО), развития добровольческой (волонтёрской) деятельности и обеспечение их эффективного участия в социально-экономическом развитии Тереньгульского района</w:t>
            </w:r>
          </w:p>
        </w:tc>
      </w:tr>
      <w:tr>
        <w:trPr>
          <w:trHeight w:val="168" w:hRule="atLeast"/>
        </w:trPr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Cs/>
                <w:iCs/>
                <w:color w:val="auto"/>
              </w:rPr>
              <w:t>Задача подпрограммы:</w:t>
            </w:r>
            <w:r>
              <w:rPr>
                <w:rFonts w:cs="PT Astra Serif;Times New Roman" w:ascii="PT Astra Serif;Times New Roman" w:hAnsi="PT Astra Serif;Times New Roman"/>
                <w:bCs/>
                <w:color w:val="auto"/>
              </w:rPr>
              <w:t xml:space="preserve"> </w:t>
            </w:r>
            <w:r>
              <w:rPr>
                <w:rFonts w:cs="Times New Roman" w:ascii="PT Astra Serif;Times New Roman" w:hAnsi="PT Astra Serif;Times New Roman"/>
                <w:color w:val="auto"/>
              </w:rPr>
              <w:t>развитие механизмов привлечения СО НКО к оказанию социальных услуг на конкурентной основе, а также конкурсного финансирования инновационных программ и проектов СО НКО;развитие инфраструктуры поддержки СО НКО, в том числе содействие привлечению СО НКО труда добровольцев;</w:t>
            </w:r>
            <w:r>
              <w:rPr>
                <w:rFonts w:cs="PT Astra Serif;Times New Roman" w:ascii="PT Astra Serif;Times New Roman" w:hAnsi="PT Astra Serif;Times New Roman"/>
                <w:bCs/>
                <w:color w:val="auto"/>
              </w:rPr>
              <w:t xml:space="preserve"> </w:t>
            </w:r>
            <w:r>
              <w:rPr>
                <w:rFonts w:cs="Times New Roman" w:ascii="PT Astra Serif;Times New Roman" w:hAnsi="PT Astra Serif;Times New Roman"/>
                <w:color w:val="auto"/>
              </w:rPr>
              <w:t>обеспечение открытости информации о государственной поддержке СО НКО</w:t>
            </w:r>
          </w:p>
        </w:tc>
      </w:tr>
      <w:tr>
        <w:trPr>
          <w:trHeight w:val="296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«Осуществление  финансовой поддержки социально ориентированных программ (проектов), реализуемых СО НКО»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Ульяновской области (далее — Первый заместитель главы администрации района)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>Количество СО НКО, получивших субсидии из  бюджета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 Ульяновской области (далее – местный бюджет)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бюджета муниципального образования «Тереньгульский район» муниципального образования «Тереньгульский район»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80,00</w:t>
            </w:r>
          </w:p>
        </w:tc>
      </w:tr>
      <w:tr>
        <w:trPr>
          <w:trHeight w:val="7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18"/>
                <w:szCs w:val="18"/>
                <w:lang w:eastAsia="ru-RU"/>
              </w:rPr>
              <w:t>Предоставление субсидий СО НКО из бюджета в целях финансового обеспечения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18"/>
                <w:szCs w:val="18"/>
                <w:lang w:eastAsia="ru-RU"/>
              </w:rPr>
              <w:t>реализации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18"/>
                <w:szCs w:val="18"/>
                <w:lang w:eastAsia="ru-RU"/>
              </w:rPr>
              <w:t>социально ориентированных программ (проектов)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18"/>
                <w:szCs w:val="1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50,00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>Основное мероприятие «Проведение мероприятий, направленных на обеспечение развития гражданского общества и организацию взаимодействия составляющих его элементов»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мероприятий, проведённых органами местного самоуправления муниципальных образований Ульяновской области с участием СО НКО;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СО НКО, осуществляющих деятельность на территории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 Ульяновской области, в отчётном году;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информационных материалов, опубликованных в пе-чатных средствах массовой информации, а также радио-, теле- и иных программ, вышедших в свет (в эфир), освещающих деятельность СО НКО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99,16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12,16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25,0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Организация и проведение мероприятий с участием некоммерческих общественных объединений ( в т.ч изготовление баннеров, приобретение цветов, подарков,  сувенирной продукции)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52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7,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15,0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Осуществление комплекса мероприятий, направленных на развитие инфраструктуры поддержки деятельности СО НКО (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чествование активистов НКО)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Изготовление 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буклетов.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47,16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12,16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</w:rPr>
              <w:t>Итого по подпрограмме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pacing w:val="-6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pacing w:val="-6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269,16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b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12,16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3</w:t>
            </w: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2,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45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105,0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Подпрограмма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«Укрепление единства российской нации,  и этнокультурное развитие народов России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Цель подпрограммы: укрепление гражданского единства многонационального народа Российской Федерации (российской нации) на территории муниципального образования «Тереньгульский район»;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Задача подпрограммы: гармонизация межнациональных отношений; реализация комплексной информационной кампании, направленной на пропаганду укрепления единства российской нации на территории муниципального образования «Тереньгульский район»; создание условий для адаптации и интеграции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иностранных граждан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, прибывающих на территорию муниципального образования «Тереньгульский район»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обеспечение равенства прав и свобод человека и гражданина независимо от расы, национальности, языка, происхождения, имущественного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Задачи мероприятия: формирование гражданского самосознания, патриотизма, гражданской ответственности, чувства гордости за историю России;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воспитание культуры межнационального общения, основанной на уважении чести и национального достоинства граждан,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традиционных российских духовно-нравственных ценностей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Основное мероприятие «Обеспечение гражданской идентичности и этнокультурного развития народов России,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PT Astra Serif;Times New Roman"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Количество проведенных социально-значимых мероприятий, направленных на повышение толерантного отношения жителей к представителям других национальностей;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Количество проведенных «круглых столов» с участием представителей местных отделений национально-культурных автономий, представителей различных конфессий;</w:t>
            </w:r>
          </w:p>
          <w:p>
            <w:pPr>
              <w:pStyle w:val="ConsPlusNormal"/>
              <w:widowControl w:val="false"/>
              <w:jc w:val="both"/>
              <w:rPr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auto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cs="Times New Roman" w:ascii="PT Astra Serif;Times New Roman" w:hAnsi="PT Astra Serif;Times New Roman"/>
                <w:color w:val="auto"/>
              </w:rPr>
              <w:t>Численность участников мероприятий, проведённых при участии органов местного 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Повышение информированности жителей муниципального образования «Тереньгульский район» о целях и задачах реализации национальной политики.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25,78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C9211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0,78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20,0</w:t>
            </w:r>
          </w:p>
        </w:tc>
      </w:tr>
      <w:tr>
        <w:trPr>
          <w:trHeight w:val="76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Изготовление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буклетов о народах, проживающих на территории муниципального образования «Тереньгульский район» Ульяновской области и их традициях и праздниках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13,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0,780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0,5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4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4"/>
                <w:sz w:val="20"/>
                <w:szCs w:val="20"/>
              </w:rPr>
              <w:t>Подготовка и организация опубликования в печатных средствах массовой информации материалов по вопросам реализации государственной национальной политики и государственной политики в отношении российского казачества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0,5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содействие гармонизации национальных и межнациональных (межэтнических) отношений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Задача мероприятия: содействие снижению уровня этнополитического и религиозно-политического экстремизма, ксенофобии и нетерпимости на территории муниципального образования «Тереньгульский район»  Ульяновской области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>Основное мероприятие «Профилактика экстремизма на национальной и религиозной почве»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Доля граждан, подтверждающих отсутствие в свой адрес дискриминации по признакам национальности, языка, религии, в общем количестве опрошенных граждан Российской Федерации, проживающих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4,8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Организация распространения в СМИ социальной рекламы,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направленной на профилактику экстремизма,  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pacing w:val="-2"/>
                <w:sz w:val="20"/>
                <w:szCs w:val="20"/>
                <w:lang w:eastAsia="ru-RU"/>
              </w:rPr>
              <w:t>изготовление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Первый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успешная социальная и культурная адаптация иностранных граждан на территории муниципального образования «Тереньгульский район» Ульяновской области и их интеграция в российское общество</w:t>
            </w:r>
          </w:p>
        </w:tc>
      </w:tr>
      <w:tr>
        <w:trPr>
          <w:trHeight w:val="137" w:hRule="atLeast"/>
        </w:trPr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Задача мероприятия: содействие социальной и культурной адаптации иностранных граждан на территории муниципального образования «Тереньгульский район» Ульяновской области и их интеграции в российское общество</w:t>
            </w:r>
          </w:p>
        </w:tc>
      </w:tr>
      <w:tr>
        <w:trPr>
          <w:trHeight w:val="463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«Социально-культурная адаптация и интеграция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иностранных граждан 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 территории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143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15,60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C9211E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Изготовление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 буклетов, брошюр информационно-справочного характера для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spacing w:val="-4"/>
                <w:kern w:val="0"/>
                <w:sz w:val="20"/>
                <w:szCs w:val="20"/>
                <w:lang w:val="ru-RU" w:eastAsia="en-US" w:bidi="ar-SA"/>
              </w:rPr>
              <w:t>иностранных граждан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, прибывающих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на территорию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 Ульяновскую область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15,60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этнокультурного многообразия на территории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Ульяновской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FF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Задачи мероприятия: содействие этнокультурному и духовному развитию народов Российской Федерации, проживающих на территории муниципального образования «Тереньгульский район» Ульяновской области; обеспечение равноправия граждан и реализации их конституционных прав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FF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Основное мероприятие «Этнокультурное развитие народов,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 Отдел </w:t>
            </w: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  <w:t>культуры,</w:t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b w:val="false"/>
                <w:b w:val="false"/>
                <w:bCs w:val="false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 w:val="false"/>
                <w:bCs w:val="false"/>
                <w:color w:val="auto"/>
                <w:sz w:val="20"/>
                <w:szCs w:val="20"/>
                <w:lang w:eastAsia="ru-RU"/>
              </w:rPr>
              <w:t xml:space="preserve">Администрация  </w:t>
            </w:r>
            <w:r>
              <w:rPr>
                <w:rFonts w:eastAsia="Calibri" w:cs="PT Astra Serif;Times New Roman" w:ascii="PT Astra Serif;Times New Roman" w:hAnsi="PT Astra Serif;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Численность участников мероприятий, проводимых на территории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 xml:space="preserve"> Ульяновской области, направленных на этнокультурное развитие народов России, проживающих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Ульяновской области;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участников мероприятий, проводимых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Ульяновской области, и направленных на укрепление общероссийского гражданского единства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388,70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53,70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140,0</w:t>
            </w:r>
          </w:p>
        </w:tc>
      </w:tr>
      <w:tr>
        <w:trPr>
          <w:trHeight w:val="1452" w:hRule="atLeast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Проведение социально значимых мероприятий, направленных на обеспечение духовно-нравственного воспитания населения, приуроченных к памятным датам и национальным праздникам народов, проживающих в Ульяновской области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МУ Отдел культуры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52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eastAsia="Calibri" w:cs="PT Astra Serif;Times New Roman" w:ascii="PT Astra Serif" w:hAnsi="PT Astra Serif"/>
                <w:color w:val="auto"/>
                <w:kern w:val="0"/>
                <w:sz w:val="20"/>
                <w:szCs w:val="20"/>
                <w:lang w:val="ru-RU" w:eastAsia="ru-RU" w:bidi="ar-SA"/>
              </w:rPr>
              <w:t>156,0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" w:ascii="PT Astra Serif" w:hAnsi="PT Astra Serif"/>
                <w:color w:val="auto"/>
                <w:kern w:val="0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140,00</w:t>
            </w:r>
          </w:p>
        </w:tc>
      </w:tr>
      <w:tr>
        <w:trPr>
          <w:trHeight w:val="1452" w:hRule="atLeast"/>
        </w:trPr>
        <w:tc>
          <w:tcPr>
            <w:tcW w:w="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</w:r>
          </w:p>
        </w:tc>
        <w:tc>
          <w:tcPr>
            <w:tcW w:w="20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bookmarkStart w:id="2" w:name="__DdeLink__8925_3438629665"/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  <w:bookmarkEnd w:id="2"/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52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232,7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37,7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языкового многообразия на территории муниципального образования «Тереньгульский район» Ульяновской области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Задачи мероприятия: сохранение и поддержка русского языка как государственного языка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 языков народов Российской Федерации, проживающих на территории муниципального образования «Тереньгульский район» Ульяновской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обеспечение права на сохранение родного языка из числа языков народов России, его изучение и развитие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  <w:lang w:eastAsia="ru-RU"/>
              </w:rPr>
              <w:t>Основное мероприятие «Русский язык и языки народов России»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Ульяновской области, направленных на сохранение и развитие русского языка и языков народов России, проживающих на территории Ульяновской области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>
          <w:trHeight w:val="151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Организация и проведение социально значимых мероприятий, направленных на укрепление статуса русского языка как государственного языка Российской Федерации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C9211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традиционных российских духовно-нравственных ценностей как основы российского общества</w:t>
            </w:r>
          </w:p>
        </w:tc>
      </w:tr>
      <w:tr>
        <w:trPr>
          <w:trHeight w:val="496" w:hRule="atLeast"/>
        </w:trPr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Задача мероприятия: содействие развитию и консолидации российского казачества,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патриотических общественных объединений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посредством формирования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эффективных механизмов общественно-государственного партнёрства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Основное мероприятие: «Российское казачество», патриотические общественные объединения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Ульяновской области при участии российского казачества, направленных на сохранение и развитие самобытной казачьей культуры и воспитание подрастающего поколения в духе патриотизма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17,92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7,92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>
          <w:trHeight w:val="3557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Организация и проведение социально значимых мероприятий, направленных на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взаимодействие</w:t>
            </w: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 российского казачества и патриотических общественных объединений на территории Ульяновской области,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изготовление баннеров,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17,92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7,92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Итого по подпрограмме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499,80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200,0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Подпрограмма «Увековечение памяти погибших при защите Отечества»</w:t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Цель подпрограммы: увековечение памяти погибших при защите Отечества.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46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  <w:t xml:space="preserve">Задачи подпрограммы: </w:t>
            </w:r>
            <w:r>
              <w:rPr>
                <w:rFonts w:eastAsia="Times New Roman" w:cs="PT Astra Serif;Times New Roman" w:ascii="PT Astra Serif;Times New Roman" w:hAnsi="PT Astra Serif;Times New Roman"/>
                <w:color w:val="auto"/>
                <w:spacing w:val="-6"/>
                <w:kern w:val="0"/>
                <w:sz w:val="20"/>
                <w:szCs w:val="20"/>
                <w:lang w:val="ru-RU" w:eastAsia="ru-RU" w:bidi="ar-SA"/>
              </w:rPr>
              <w:t>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  с</w:t>
            </w:r>
            <w:r>
              <w:rPr>
                <w:rFonts w:eastAsia="Times New Roman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одействие в организации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работ</w:t>
            </w:r>
            <w:r>
              <w:rPr>
                <w:rFonts w:eastAsia="Times New Roman" w:cs="PT Astra Serif;Times New Roman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по проведению раскопок на местах боевых сражений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6"/>
                <w:sz w:val="20"/>
                <w:szCs w:val="20"/>
                <w:lang w:eastAsia="ru-RU"/>
              </w:rPr>
              <w:t>Основное мероприятие «Содержание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textAlignment w:val="baseline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благоустроенных  воинских захоронений, мемориальных сооружений и объектов, увековечивающих память погибших при защите Отечества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color w:val="auto"/>
                <w:spacing w:val="-4"/>
                <w:sz w:val="20"/>
                <w:szCs w:val="20"/>
              </w:rPr>
            </w:pPr>
            <w:r>
              <w:rPr>
                <w:color w:val="auto"/>
                <w:spacing w:val="-4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26" w:right="-117" w:hanging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41,02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6,02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73" w:right="-2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46" w:right="-55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61" w:right="-81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35" w:right="-10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35,0</w:t>
            </w:r>
          </w:p>
        </w:tc>
      </w:tr>
      <w:tr>
        <w:trPr>
          <w:trHeight w:val="2612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both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</w:rPr>
              <w:t xml:space="preserve">Выполнение работ по содержанию в порядке и благоустройству </w:t>
            </w:r>
            <w:r>
              <w:rPr>
                <w:rFonts w:cs="PT Astra Serif;Times New Roman" w:ascii="PT Astra Serif;Times New Roman" w:hAnsi="PT Astra Serif;Times New Roman"/>
                <w:color w:val="auto"/>
                <w:spacing w:val="-6"/>
                <w:sz w:val="20"/>
                <w:szCs w:val="20"/>
                <w:lang w:eastAsia="ru-RU"/>
              </w:rPr>
              <w:t>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26" w:right="-117" w:hanging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41,02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99" w:right="-143" w:hanging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6,02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73" w:right="-2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46" w:right="-55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61" w:right="-81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ind w:left="-135" w:right="-108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35,0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47" w:before="0" w:after="0"/>
              <w:jc w:val="both"/>
              <w:textAlignment w:val="baseline"/>
              <w:rPr>
                <w:color w:val="000000"/>
              </w:rPr>
            </w:pP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«Содействие в организации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работ</w:t>
            </w:r>
            <w:r>
              <w:rPr>
                <w:rFonts w:cs="PT Astra Serif;Times New Roman" w:ascii="PT Astra Serif" w:hAnsi="PT Astra Serif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PT Astra Serif" w:hAnsi="PT Astra Serif"/>
                <w:color w:val="auto"/>
                <w:spacing w:val="-4"/>
                <w:kern w:val="0"/>
                <w:sz w:val="20"/>
                <w:szCs w:val="20"/>
                <w:lang w:val="ru-RU" w:eastAsia="zh-CN" w:bidi="ar-SA"/>
              </w:rPr>
              <w:t>по проведению раскопок на местах боевых сражений»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eastAsia="Calibri" w:cs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pacing w:val="-4"/>
                <w:sz w:val="20"/>
                <w:szCs w:val="20"/>
              </w:rPr>
              <w:t>Количество оказанных услуг по доставке поисковых  отрядов на места боевых сражений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135,0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65,0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Оказание транспортных услуг по  доставке  поисковых  отрядов  на места боевых сражений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6" w:right="-117" w:hanging="0"/>
              <w:jc w:val="center"/>
              <w:rPr>
                <w:color w:val="auto"/>
              </w:rPr>
            </w:pPr>
            <w:r>
              <w:rPr>
                <w:rFonts w:eastAsia="Calibri" w:cs="PT Astra Serif;Times New Roman" w:ascii="PT Astra Serif;Times New Roman" w:hAnsi="PT Astra Serif;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135,0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99" w:right="-143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color w:val="auto"/>
                <w:sz w:val="20"/>
                <w:szCs w:val="20"/>
              </w:rPr>
              <w:t>65,0</w:t>
            </w:r>
          </w:p>
        </w:tc>
      </w:tr>
      <w:tr>
        <w:trPr>
          <w:trHeight w:val="123" w:hRule="atLeast"/>
        </w:trPr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Итого по подпрограмме</w:t>
            </w:r>
          </w:p>
          <w:p>
            <w:pPr>
              <w:pStyle w:val="Normal"/>
              <w:widowControl w:val="false"/>
              <w:spacing w:lineRule="auto" w:line="247" w:before="0" w:after="0"/>
              <w:rPr>
                <w:rFonts w:ascii="PT Astra Serif;Times New Roman" w:hAnsi="PT Astra Serif;Times New Roman" w:cs="PT Astra Serif;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7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117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241,02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141,02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  <w:t>ВСЕГО по муниципальной  программе</w:t>
            </w:r>
          </w:p>
          <w:p>
            <w:pPr>
              <w:pStyle w:val="Normal"/>
              <w:widowControl w:val="false"/>
              <w:spacing w:lineRule="auto" w:line="247" w:before="0" w:after="0"/>
              <w:rPr>
                <w:rFonts w:ascii="PT Astra Serif;Times New Roman" w:hAnsi="PT Astra Serif;Times New Roman" w:cs="PT Astra Serif;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7" w:before="0" w:after="0"/>
              <w:jc w:val="center"/>
              <w:rPr>
                <w:rFonts w:ascii="PT Astra Serif;Times New Roman" w:hAnsi="PT Astra Serif;Times New Roman" w:cs="PT Astra Serif;Times New Roman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en-US" w:bidi="ar-SA"/>
              </w:rPr>
              <w:t>1009,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2</w:t>
            </w:r>
            <w:r>
              <w:rPr>
                <w:rFonts w:eastAsia="Calibri" w:cs="PT Astra Serif;Times New Roman" w:ascii="PT Astra Serif;Times New Roman" w:hAnsi="PT Astra Serif;Times New Roman"/>
                <w:b/>
                <w:color w:val="auto"/>
                <w:kern w:val="0"/>
                <w:sz w:val="20"/>
                <w:szCs w:val="20"/>
                <w:lang w:val="ru-RU" w:eastAsia="en-US" w:bidi="ar-SA"/>
              </w:rPr>
              <w:t>17</w:t>
            </w: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,18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102,8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115,0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color w:val="auto"/>
                <w:sz w:val="20"/>
                <w:szCs w:val="20"/>
              </w:rPr>
              <w:t>170,0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7" w:before="0" w:after="0"/>
              <w:ind w:left="-64" w:right="-64" w:hanging="0"/>
              <w:jc w:val="center"/>
              <w:rPr>
                <w:color w:val="auto"/>
              </w:rPr>
            </w:pPr>
            <w:r>
              <w:rPr>
                <w:rFonts w:cs="PT Astra Serif;Times New Roman" w:ascii="PT Astra Serif;Times New Roman" w:hAnsi="PT Astra Serif;Times New Roman"/>
                <w:b/>
                <w:bCs/>
                <w:color w:val="auto"/>
                <w:sz w:val="20"/>
                <w:szCs w:val="20"/>
              </w:rPr>
              <w:t>405,0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2</w:t>
      </w:r>
      <w:bookmarkStart w:id="3" w:name="__DdeLink__1336_3363342477"/>
      <w:bookmarkEnd w:id="3"/>
      <w:r>
        <w:rPr>
          <w:rFonts w:cs="Times New Roman" w:ascii="PT Astra Serif" w:hAnsi="PT Astra Serif"/>
          <w:color w:val="auto"/>
          <w:sz w:val="28"/>
          <w:szCs w:val="28"/>
        </w:rPr>
        <w:t>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Глава администрации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муниципального образования</w:t>
      </w:r>
    </w:p>
    <w:p>
      <w:pPr>
        <w:pStyle w:val="NoSpacing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>«Тереньгульский район»</w:t>
        <w:tab/>
        <w:tab/>
        <w:tab/>
        <w:tab/>
        <w:tab/>
        <w:tab/>
        <w:tab/>
        <w:tab/>
        <w:tab/>
        <w:tab/>
        <w:tab/>
        <w:tab/>
        <w:t>Г.А.Шерстнев</w:t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>
        <w:rPr/>
      </w:r>
    </w:p>
    <w:sectPr>
      <w:footerReference w:type="even" r:id="rId9"/>
      <w:footerReference w:type="default" r:id="rId10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  <w:t>0791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  <w:t xml:space="preserve"> </w:t>
    </w:r>
  </w:p>
</w:ftr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2899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c2752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CellTimesNewRoman">
    <w:name w:val="ConsPlusCell + Times New Roman"/>
    <w:basedOn w:val="Normal"/>
    <w:qFormat/>
    <w:pPr>
      <w:widowControl w:val="false"/>
      <w:spacing w:lineRule="auto" w:line="240" w:before="0" w:after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Spacing1">
    <w:name w:val="No Spacing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Bodytext">
    <w:name w:val="Body text"/>
    <w:basedOn w:val="Normal"/>
    <w:qFormat/>
    <w:pPr>
      <w:shd w:val="clear" w:fill="FFFFFF"/>
      <w:suppressAutoHyphens w:val="false"/>
      <w:spacing w:lineRule="exact" w:line="326" w:before="240" w:after="0"/>
      <w:jc w:val="both"/>
    </w:pPr>
    <w:rPr>
      <w:rFonts w:ascii="Times New Roman" w:hAnsi="Times New Roman" w:cs="Times New Roman"/>
      <w:sz w:val="28"/>
      <w:szCs w:val="28"/>
    </w:rPr>
  </w:style>
  <w:style w:type="paragraph" w:styleId="Style24">
    <w:name w:val="Title"/>
    <w:basedOn w:val="Normal"/>
    <w:next w:val="Style15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Application>LibreOffice/7.0.6.2$Linux_X86_64 LibreOffice_project/00$Build-2</Application>
  <AppVersion>15.0000</AppVersion>
  <DocSecurity>0</DocSecurity>
  <Pages>26</Pages>
  <Words>4205</Words>
  <Characters>33034</Characters>
  <CharactersWithSpaces>36806</CharactersWithSpaces>
  <Paragraphs>830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2019-01-22T17:35:00Z</dcterms:created>
  <dc:creator>Admin</dc:creator>
  <dc:description/>
  <dc:language>ru-RU</dc:language>
  <cp:lastModifiedBy/>
  <cp:lastPrinted>2022-12-28T13:15:56Z</cp:lastPrinted>
  <dcterms:modified xsi:type="dcterms:W3CDTF">2022-12-29T10:19:29Z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