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ind w:left="567" w:hanging="0"/>
        <w:jc w:val="center"/>
        <w:rPr>
          <w:rFonts w:ascii="PT Astra Serif" w:hAnsi="PT Astra Serif" w:eastAsia="Times New Roman" w:cs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АДМИНИСТРАЦИЯ МУНИЦИПАЛЬНОГО ОБРАЗОВАНИЯ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 w:themeColor="text1"/>
          <w:spacing w:val="144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 w:themeColor="text1"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 w:themeColor="text1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36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  <w:t xml:space="preserve">27 декабря </w:t>
      </w: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  <w:t xml:space="preserve">2022 </w:t>
      </w: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>г.</w:t>
      </w:r>
      <w:r>
        <w:rPr>
          <w:rFonts w:eastAsia="Times New Roman" w:cs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 xml:space="preserve">      </w:t>
        <w:tab/>
        <w:t xml:space="preserve">                  </w:t>
      </w: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  <w:t>№</w:t>
      </w: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  <w:t>737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1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  <w:t>Экз. № ____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</w:r>
    </w:p>
    <w:tbl>
      <w:tblPr>
        <w:tblW w:w="8930" w:type="dxa"/>
        <w:jc w:val="lef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8"/>
                <w:szCs w:val="28"/>
              </w:rPr>
              <w:t xml:space="preserve">О внесении изменений и дополнений в постановление Администрации муниципального образования «Тереньгульский район» Ульяновской области от 02.11.2020 № 427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 xml:space="preserve">         </w:t>
      </w:r>
      <w:r>
        <w:rPr>
          <w:rFonts w:cs="Times New Roman" w:ascii="PT Astra Serif" w:hAnsi="PT Astra Serif"/>
          <w:color w:val="000000" w:themeColor="text1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ab/>
      </w:r>
      <w:r>
        <w:rPr>
          <w:rFonts w:cs="Times New Roman"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«Тереньгульский район» Ульяновской области от 02 ноября 2020 года № 427    </w:t>
      </w: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«Об утверждении муниципальной программы «Развитие муниципального управления в муниципальном образовании «Тереньгульский район» на 2021-2023 годы» следующие изменения и дополнения: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1.2. В строке «Ресурсное обеспечение муниципальной программы с разбивкой по этапам и годам реализации» паспорта программы слова «Для реализации Программы необходимо 380</w:t>
      </w:r>
      <w:r>
        <w:rPr>
          <w:rFonts w:ascii="PT Astra Serif" w:hAnsi="PT Astra Serif"/>
          <w:sz w:val="28"/>
          <w:szCs w:val="28"/>
        </w:rPr>
        <w:t xml:space="preserve"> 304 рубля 07 копеек</w:t>
      </w:r>
      <w:r>
        <w:rPr>
          <w:rFonts w:cs="Times New Roman" w:ascii="PT Astra Serif" w:hAnsi="PT Astra Serif"/>
          <w:sz w:val="28"/>
          <w:szCs w:val="28"/>
        </w:rPr>
        <w:t xml:space="preserve">, в том числе: </w:t>
      </w:r>
      <w:r>
        <w:rPr>
          <w:rFonts w:ascii="PT Astra Serif" w:hAnsi="PT Astra Serif"/>
          <w:sz w:val="28"/>
          <w:szCs w:val="28"/>
        </w:rPr>
        <w:t>2021 год – 82 104 рубля 07 копеек, 2022 год – 115 900 рублей, 2023 год – 182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300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</w:t>
      </w:r>
      <w:r>
        <w:rPr>
          <w:rFonts w:cs="Times New Roman" w:ascii="PT Astra Serif" w:hAnsi="PT Astra Serif"/>
          <w:sz w:val="28"/>
          <w:szCs w:val="28"/>
        </w:rPr>
        <w:t>» заменить словами «Для реализации Программы необходимо 345 875</w:t>
      </w:r>
      <w:r>
        <w:rPr>
          <w:rFonts w:ascii="PT Astra Serif" w:hAnsi="PT Astra Serif"/>
          <w:sz w:val="28"/>
          <w:szCs w:val="28"/>
        </w:rPr>
        <w:t xml:space="preserve"> рублей 04 копейки</w:t>
      </w:r>
      <w:r>
        <w:rPr>
          <w:rFonts w:cs="Times New Roman" w:ascii="PT Astra Serif" w:hAnsi="PT Astra Serif"/>
          <w:sz w:val="28"/>
          <w:szCs w:val="28"/>
        </w:rPr>
        <w:t xml:space="preserve">, в том числе: </w:t>
      </w:r>
      <w:r>
        <w:rPr>
          <w:rFonts w:ascii="PT Astra Serif" w:hAnsi="PT Astra Serif"/>
          <w:sz w:val="28"/>
          <w:szCs w:val="28"/>
        </w:rPr>
        <w:t>2021 год – 82 104 рубля 07 копеек, 2022 год –93970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 97 копеек, 2023 год – 169 800 рублей</w:t>
      </w:r>
      <w:r>
        <w:rPr>
          <w:rFonts w:cs="Times New Roman" w:ascii="PT Astra Serif" w:hAnsi="PT Astra Serif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1.3. Абзац 1 раздела 5 программы изложить в следующей редакции: «Общий объем финансирования Программы в 2021-2023 гг. составит 345 875</w:t>
      </w:r>
      <w:r>
        <w:rPr>
          <w:rFonts w:ascii="PT Astra Serif" w:hAnsi="PT Astra Serif"/>
          <w:sz w:val="28"/>
          <w:szCs w:val="28"/>
        </w:rPr>
        <w:t xml:space="preserve"> рублей 04 копейки</w:t>
      </w:r>
      <w:r>
        <w:rPr>
          <w:rFonts w:cs="Times New Roman" w:ascii="PT Astra Serif" w:hAnsi="PT Astra Serif"/>
          <w:sz w:val="28"/>
          <w:szCs w:val="28"/>
        </w:rPr>
        <w:t xml:space="preserve">, в том числе: </w:t>
      </w:r>
      <w:r>
        <w:rPr>
          <w:rFonts w:ascii="PT Astra Serif" w:hAnsi="PT Astra Serif"/>
          <w:sz w:val="28"/>
          <w:szCs w:val="28"/>
        </w:rPr>
        <w:t>2021 год – 82 104 рубля 07 копеек, 2022 год – 93970 рублей 97 копеек,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2023 год – 169 800 рублей</w:t>
      </w:r>
      <w:r>
        <w:rPr>
          <w:rFonts w:cs="Times New Roman" w:ascii="PT Astra Serif" w:hAnsi="PT Astra Serif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1.4. Приложение №1 к программе изложить в следующей редакции: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36"/>
          <w:szCs w:val="36"/>
        </w:rPr>
      </w:pPr>
      <w:r>
        <w:rPr>
          <w:rFonts w:cs="Times New Roman" w:ascii="PT Astra Serif" w:hAnsi="PT Astra Serif"/>
          <w:sz w:val="36"/>
          <w:szCs w:val="36"/>
        </w:rPr>
        <w:t>0771</w:t>
      </w:r>
    </w:p>
    <w:p>
      <w:pPr>
        <w:pStyle w:val="Normal"/>
        <w:widowControl w:val="false"/>
        <w:numPr>
          <w:ilvl w:val="0"/>
          <w:numId w:val="0"/>
        </w:numPr>
        <w:ind w:left="5529" w:hanging="0"/>
        <w:outlineLvl w:val="0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               </w:t>
      </w:r>
      <w:r>
        <w:rPr>
          <w:rFonts w:ascii="PT Astra Serif" w:hAnsi="PT Astra Serif"/>
          <w:color w:val="000000" w:themeColor="text1"/>
          <w:sz w:val="24"/>
          <w:szCs w:val="24"/>
        </w:rPr>
        <w:t>«ПРИЛОЖЕНИЕ № 1</w:t>
      </w:r>
    </w:p>
    <w:p>
      <w:pPr>
        <w:pStyle w:val="Normal"/>
        <w:widowControl w:val="false"/>
        <w:ind w:left="5529" w:hanging="0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 муниципальной программе  «Развитие  муниципального управления в   муниципальном образовании  «Тереньгульский район» на 2021 - 2023 годы»</w:t>
      </w:r>
    </w:p>
    <w:p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ПЕРЕЧЕНЬ </w:t>
      </w:r>
    </w:p>
    <w:p>
      <w:pPr>
        <w:pStyle w:val="ConsPlusTitle"/>
        <w:jc w:val="center"/>
        <w:rPr>
          <w:rFonts w:ascii="PT Astra Serif" w:hAnsi="PT Astra Serif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b w:val="false"/>
          <w:color w:val="000000" w:themeColor="text1"/>
          <w:sz w:val="28"/>
          <w:szCs w:val="28"/>
        </w:rPr>
        <w:t xml:space="preserve">основных мероприятий </w:t>
      </w:r>
    </w:p>
    <w:p>
      <w:pPr>
        <w:pStyle w:val="Normal"/>
        <w:widowControl w:val="false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tbl>
      <w:tblPr>
        <w:tblW w:w="1020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10"/>
        <w:gridCol w:w="3259"/>
        <w:gridCol w:w="2268"/>
        <w:gridCol w:w="1277"/>
        <w:gridCol w:w="1417"/>
        <w:gridCol w:w="1275"/>
      </w:tblGrid>
      <w:tr>
        <w:trPr>
          <w:trHeight w:val="48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№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br/>
              <w:t xml:space="preserve"> 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Наименование  </w:t>
              <w:br/>
              <w:t xml:space="preserve">  мероприятия</w:t>
            </w:r>
          </w:p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Ответственный  </w:t>
              <w:br/>
              <w:t xml:space="preserve">  исполнитель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Объемы финансирования</w:t>
            </w:r>
          </w:p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</w:tr>
      <w:tr>
        <w:trPr>
          <w:trHeight w:val="3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2023 г</w:t>
            </w:r>
          </w:p>
        </w:tc>
      </w:tr>
      <w:tr>
        <w:trPr>
          <w:trHeight w:val="25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86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</w:t>
            </w:r>
          </w:p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49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72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71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>
        <w:trPr>
          <w:trHeight w:val="938" w:hRule="atLeast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firstLine="54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1. Повышение эффективности муниципального управления, совершенствование системы стимулирования, мотивации и результативности профессиональной служебной деятельности муниципальных служащих</w:t>
            </w:r>
            <w:r>
              <w:rPr>
                <w:rFonts w:ascii="PT Astra Serif" w:hAnsi="PT Astra Serif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1.1. 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Диспансеризация муниципальных служащих </w:t>
            </w: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администрации муниципального образования «Тереньгульский район»</w:t>
            </w: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её отраслевых (функциональных) органов</w:t>
            </w:r>
          </w:p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 Финансовый отдел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14000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МУ «Комитет по управлению муниципальным имуществом и земельным отношениям МО «Тереньгульский район» Ульяновской области»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3500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Совет депутатов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3000</w:t>
            </w:r>
          </w:p>
        </w:tc>
      </w:tr>
      <w:tr>
        <w:trPr>
          <w:trHeight w:val="557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МУ Отдел по делам культуры и организации досуга населения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3500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kern w:val="2"/>
                <w:sz w:val="24"/>
                <w:szCs w:val="24"/>
                <w:lang w:bidi="hi-IN"/>
              </w:rPr>
              <w:t xml:space="preserve">Проведение Корпоративных мероприятий. </w:t>
            </w:r>
            <w:r>
              <w:rPr>
                <w:rFonts w:eastAsia="Droid Sans Fallback" w:cs="Droid Sans Devanagari" w:ascii="PT Astra Serif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Подготовка </w:t>
            </w:r>
            <w:bookmarkStart w:id="0" w:name="_GoBack"/>
            <w:bookmarkEnd w:id="0"/>
            <w:r>
              <w:rPr>
                <w:rFonts w:eastAsia="Droid Sans Fallback" w:cs="Droid Sans Devanagari" w:ascii="PT Astra Serif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Администрация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20000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54000</w:t>
            </w:r>
          </w:p>
        </w:tc>
      </w:tr>
      <w:tr>
        <w:trPr>
          <w:trHeight w:val="427" w:hRule="atLeast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Повышение эффективности муниципального управления путем привлечения и закрепления молодых специалистов в администрации муниципального образования «Тереньгульский район» и её отраслевых (функциональных) органах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 xml:space="preserve">Меры социальной поддержки молодым специалистам, </w:t>
            </w:r>
            <w:r>
              <w:rPr>
                <w:rFonts w:ascii="PT Astra Serif" w:hAnsi="PT Astra Serif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поступившим на работу 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администрацию муниципального образования «Тереньгульский район» и её отраслевые (функциональные) органы, услуги банка 1%</w:t>
            </w:r>
          </w:p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57970,97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80800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57970,97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80800</w:t>
            </w:r>
          </w:p>
        </w:tc>
      </w:tr>
      <w:tr>
        <w:trPr>
          <w:trHeight w:val="320" w:hRule="atLeast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Развитие кадрового потенциала муниципального управления.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Оптимизация единой системы обучения муниципальных служащих и работников</w:t>
            </w:r>
          </w:p>
        </w:tc>
      </w:tr>
      <w:tr>
        <w:trPr>
          <w:trHeight w:val="225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3.1.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Организация профессиональной переподготовки и курсов повышения квалификации (тренинги, семинары) муниципальных служащих </w:t>
            </w: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 xml:space="preserve">и работников, </w:t>
            </w:r>
            <w:r>
              <w:rPr>
                <w:rFonts w:eastAsia="Calibri" w:cs="Times New Roman" w:ascii="PT Astra Serif" w:hAnsi="PT Astra Serif" w:eastAsiaTheme="minorHAnsi"/>
                <w:iCs/>
                <w:color w:val="000000" w:themeColor="text1"/>
                <w:sz w:val="24"/>
                <w:szCs w:val="24"/>
                <w:lang w:eastAsia="en-US"/>
              </w:rPr>
              <w:t>осуществляющих техническое обеспечение деятельности администрации</w:t>
            </w:r>
            <w:r>
              <w:rPr>
                <w:rFonts w:eastAsia="Calibri" w:ascii="PT Astra Serif" w:hAnsi="PT Astra Serif" w:eastAsiaTheme="minorHAnsi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муниципального образования «Тереньгульский район» и её отраслевых (функциональных)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Администрация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35000</w:t>
            </w:r>
          </w:p>
        </w:tc>
      </w:tr>
      <w:tr>
        <w:trPr>
          <w:trHeight w:val="46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35000</w:t>
            </w:r>
          </w:p>
        </w:tc>
      </w:tr>
      <w:tr>
        <w:trPr>
          <w:trHeight w:val="424" w:hRule="atLeast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PT Astra Serif" w:hAnsi="PT Astra Serif" w:cs="Times New Roman"/>
                <w:b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b/>
                <w:b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8"/>
                <w:szCs w:val="28"/>
                <w:lang w:eastAsia="ar-SA"/>
              </w:rPr>
              <w:t>82104,07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93970,97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169800</w:t>
            </w:r>
            <w:bookmarkStart w:id="1" w:name="OLE_LINK4"/>
            <w:bookmarkStart w:id="2" w:name="OLE_LINK3"/>
            <w:bookmarkEnd w:id="1"/>
            <w:bookmarkEnd w:id="2"/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 xml:space="preserve">Глава администрации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>«Тереньгульский район»</w:t>
        <w:tab/>
        <w:tab/>
        <w:tab/>
        <w:tab/>
        <w:t xml:space="preserve">                                Г.А.Шерстнев</w:t>
      </w:r>
    </w:p>
    <w:sectPr>
      <w:headerReference w:type="default" r:id="rId2"/>
      <w:type w:val="nextPage"/>
      <w:pgSz w:w="11906" w:h="16838"/>
      <w:pgMar w:left="1701" w:right="567" w:header="27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9f5bb1"/>
    <w:rPr/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735dc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9f5bb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1 Знак"/>
    <w:basedOn w:val="Normal"/>
    <w:qFormat/>
    <w:rsid w:val="009f5bb1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735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Cell" w:customStyle="1">
    <w:name w:val="ConsPlusCell"/>
    <w:qFormat/>
    <w:rsid w:val="0087526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uiPriority w:val="99"/>
    <w:qFormat/>
    <w:rsid w:val="0087526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DC5B-8A44-4027-A7C3-FB044471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Application>LibreOffice/7.0.6.2$Linux_X86_64 LibreOffice_project/00$Build-2</Application>
  <AppVersion>15.0000</AppVersion>
  <Pages>4</Pages>
  <Words>528</Words>
  <Characters>3572</Characters>
  <CharactersWithSpaces>4142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2018-01-16T09:36:00Z</dcterms:created>
  <dc:creator>Main</dc:creator>
  <dc:description/>
  <dc:language>ru-RU</dc:language>
  <cp:lastModifiedBy/>
  <cp:lastPrinted>2022-12-26T12:49:00Z</cp:lastPrinted>
  <dcterms:modified xsi:type="dcterms:W3CDTF">2022-12-27T14:04:35Z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