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24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240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spacing w:lineRule="auto" w:line="240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spacing w:lineRule="auto" w:line="240"/>
        <w:rPr/>
      </w:pPr>
      <w:r>
        <w:rPr>
          <w:rStyle w:val="Style14"/>
          <w:rFonts w:ascii="PT Astra Serif" w:hAnsi="PT Astra Serif"/>
          <w:color w:val="000000"/>
          <w:sz w:val="28"/>
          <w:szCs w:val="28"/>
        </w:rPr>
        <w:t xml:space="preserve">25 декабря 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202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3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 xml:space="preserve"> г.</w:t>
        <w:tab/>
        <w:tab/>
        <w:tab/>
      </w:r>
      <w:r>
        <w:rPr>
          <w:rStyle w:val="Style14"/>
          <w:rFonts w:ascii="PT Astra Serif" w:hAnsi="PT Astra Serif"/>
          <w:color w:val="000000"/>
          <w:sz w:val="18"/>
        </w:rPr>
        <w:tab/>
        <w:tab/>
        <w:tab/>
        <w:t xml:space="preserve">          </w:t>
        <w:tab/>
        <w:t xml:space="preserve">                </w:t>
      </w:r>
      <w:r>
        <w:rPr>
          <w:rStyle w:val="Style14"/>
          <w:rFonts w:ascii="PT Astra Serif" w:hAnsi="PT Astra Serif"/>
          <w:color w:val="000000"/>
          <w:szCs w:val="28"/>
        </w:rPr>
        <w:t>№</w:t>
      </w:r>
      <w:r>
        <w:rPr>
          <w:rStyle w:val="Style14"/>
          <w:rFonts w:ascii="PT Astra Serif" w:hAnsi="PT Astra Serif"/>
          <w:color w:val="000000"/>
          <w:szCs w:val="28"/>
        </w:rPr>
        <w:t>601</w:t>
      </w:r>
    </w:p>
    <w:p>
      <w:pPr>
        <w:pStyle w:val="Normal"/>
        <w:spacing w:lineRule="auto" w:line="240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center"/>
        <w:rPr/>
      </w:pPr>
      <w:r>
        <w:rPr>
          <w:rStyle w:val="Style14"/>
          <w:rFonts w:ascii="PT Astra Serif" w:hAnsi="PT Astra Serif"/>
          <w:color w:val="000000"/>
          <w:sz w:val="18"/>
          <w:szCs w:val="24"/>
        </w:rPr>
        <w:tab/>
        <w:tab/>
        <w:tab/>
        <w:tab/>
        <w:t xml:space="preserve">      </w:t>
        <w:tab/>
        <w:t xml:space="preserve">                                                                                           </w:t>
      </w:r>
      <w:r>
        <w:rPr>
          <w:rStyle w:val="Style14"/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spacing w:lineRule="auto" w:line="240"/>
        <w:jc w:val="center"/>
        <w:rPr>
          <w:rStyle w:val="Style14"/>
          <w:rFonts w:ascii="PT Astra Serif" w:hAnsi="PT Astra Serif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</w:rPr>
        <w:t>на 202</w:t>
      </w:r>
      <w:r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  <w:b/>
          <w:bCs/>
        </w:rPr>
        <w:t xml:space="preserve"> год 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В соответствии со статьёй 44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</w:rPr>
        <w:t>дминистрация муниципального образования «Тереньгульский район» Ульяновской области  п о с т а н о в л я е т: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на 202</w:t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2.Настоящее постановление вступает в силу на следующий день после дня </w:t>
      </w:r>
      <w:r>
        <w:rPr>
          <w:rFonts w:ascii="PT Astra Serif" w:hAnsi="PT Astra Serif"/>
        </w:rPr>
        <w:t xml:space="preserve">его </w:t>
      </w:r>
      <w:r>
        <w:rPr>
          <w:rFonts w:ascii="PT Astra Serif" w:hAnsi="PT Astra Serif"/>
        </w:rPr>
        <w:t>опубликования в информационном бюллетене «Вестник района».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3.Контроль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Магадеева С.И.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Глава администрации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Г.А. Шерстнев 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eastAsia="Times New Roman" w:cs="Times New Roman" w:ascii="PT Astra Serif" w:hAnsi="PT Astra Serif"/>
          <w:sz w:val="28"/>
          <w:szCs w:val="28"/>
          <w:lang w:bidi="ar-SA"/>
        </w:rPr>
        <w:t>РИЛОЖЕНИЕ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от ____ _ 202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№ _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ПРОГРАММА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на 202</w:t>
      </w:r>
      <w:r>
        <w:rPr>
          <w:rFonts w:ascii="PT Astra Serif" w:hAnsi="PT Astra Serif"/>
          <w:b/>
          <w:szCs w:val="28"/>
        </w:rPr>
        <w:t>4</w:t>
      </w:r>
      <w:r>
        <w:rPr>
          <w:rFonts w:ascii="PT Astra Serif" w:hAnsi="PT Astra Serif"/>
          <w:b/>
          <w:szCs w:val="28"/>
        </w:rPr>
        <w:t xml:space="preserve"> год</w:t>
      </w:r>
    </w:p>
    <w:p>
      <w:pPr>
        <w:pStyle w:val="Normal"/>
        <w:spacing w:lineRule="auto" w:line="24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Раздел 1. Анализ текущего состояния осуществления муниципального 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1.1. Настоящая программа разработана в соответствии с Федеральным законом от 31 июля 2021 года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 июня 2021 года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поселение».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Муниципальный контроль в сфере благоустройства  осуществляться в соответствии с Положением об осуществлении муниципального контроля в сфере благоустройства на территории муниципального образования «Тереньгульское городское поселение», утверждённым решением Совета депутатов муниципального образования «Тереньгульское городское поселение» Тереньгульского района Ульяновской области от 24.12.2021 года № 47/43.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1.2. К проблемам, на решение которых направлена программа профилактики, относятся случаи: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содержанию прилегающих территорий;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уборке территории посёлка в зимний период, включая контроль проведения мероприятий по своевременной очистке кровель зданий, сооружений от снега, наледи и сосулек;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уборке территории посёлка в летний период, включая обязательные требования по выявлению карантинных, ядовитых и сорных растений, борьбе с ними, ликвидации их очагов;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складирование твёрдых коммунальных отходов вне выделенных для такого складирования мест;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дополнительные обязательные требования пожарной безопасности в период действия противопожарного режима.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Наиболее распространёнными причинами перечисленных нарушений являются отсутствие у отдельных граждан экологической культуры, стремления к сохранению чистоты и порядка, а также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нарушений, предусмотренными законодательством и муниципальными правовыми актами.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Раздел 2. Цели и задачи реализации программы профилактики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Основными целями Программы профилактики рисков причинения вреда (ущерба) охраняемым законом ценностям являются: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1)</w:t>
        <w:tab/>
        <w:t>Стимулирование добросовестного соблюдения требований всеми контролируемыми лицами;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2)</w:t>
        <w:tab/>
        <w:t>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3)</w:t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2) Организация и проведение профилактических мероприятий, анализ выявленных в результате проведения муниципального контроля в сфере благоустройства нарушений обязательных требований.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center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kern w:val="0"/>
          <w:sz w:val="28"/>
          <w:szCs w:val="28"/>
          <w:lang w:eastAsia="ru-RU" w:bidi="ar-SA"/>
        </w:rPr>
        <w:t>Раздел 3. Перечень профилактических мероприятий, сроки (периодичность) их проведения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tbl>
      <w:tblPr>
        <w:tblW w:w="9465" w:type="dxa"/>
        <w:jc w:val="left"/>
        <w:tblInd w:w="-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3"/>
        <w:gridCol w:w="3012"/>
        <w:gridCol w:w="2150"/>
        <w:gridCol w:w="3740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 xml:space="preserve">№ </w:t>
            </w: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 xml:space="preserve">п/п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Наименование и формы</w:t>
            </w: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 xml:space="preserve"> мероприятия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Срок (периодичность) проведения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Ответственный исполнитель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1.Информирование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1.1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Размещение сведений по вопросам соблюдения обязательных требований в сети «Интернет» на официальном сайте администрации муниципального образования «Тереньгульский район»: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а) Размещение сведений по вопросам соблюдени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я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 обязательных требований в средствах массовой информации; 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г) Размещение Программы профилактики рисков причинения вреда (ущерба) охраняемым законом ценностям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реже 2 раз в год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позднее 25 декабря предшествующего года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Специалист по взаимодействию со СМИ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социального развития, спорта  и охраны здоровья граждан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 Обобщение правоприменительной практики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Подготовка доклада, о правоприменительной практике по осуществлению контроля в сфере благоустройства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До 1 июня 202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г.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>
          <w:trHeight w:val="25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Размещение доклада о правоприменительной практике на официальном сайте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администрации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муниципального образования «Тереньгульский район»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До 1 июля 202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г.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Специалист по взаимодействию со СМИ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социального развития, спорта  и охраны здоровья граждан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З. Объявление предостережений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3.1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 мере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 Консультирование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в устной форме по телефону, посредством видео-конференц-связи, на личном приёме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При обращении лица, нуждающегося в консультировании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в письменной форме по следующим вопросам: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0" w:right="0" w:firstLine="367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Организация и осуществление контроля в сфере благоустройства;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0" w:right="0" w:firstLine="367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Порядок осуществления контрольных мероприятий;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0" w:right="0" w:firstLine="367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Порядок обжалования действий (бездействий) должностных лиц, уполномоченных осуществлять муниципальный контроль;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tabs>
                <w:tab w:val="clear" w:pos="708"/>
              </w:tabs>
              <w:suppressAutoHyphens w:val="false"/>
              <w:spacing w:lineRule="auto" w:line="240" w:before="0" w:after="0"/>
              <w:ind w:left="-58" w:right="0" w:firstLine="34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Получение информации о нормативных правовых актах(их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 запросу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в форме устных и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письменных разъяснений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район»»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на собраниях и конференциях граждан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</w:tc>
      </w:tr>
      <w:tr>
        <w:trPr/>
        <w:tc>
          <w:tcPr>
            <w:tcW w:w="94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-166" w:hanging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5. Профи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ла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ктический визит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-166" w:hanging="0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5.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Проводится в форме профилактической беседы по месту осуществления деятельности контролируемого лица, либо путём использования видео-конференц-связи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Ежемесячно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</w:tbl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утверждённой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>В случае, если при проведении профилактических мероприятий установлено, что объекты муниципального контроля в сфере благоустройства представляют явную непосредственную угрозу причинения вреда (ущерба) охраняемым законом ценностям или такой вред (ущерб) причинён, должностное лицо, уполномоченное осуществлять муниципальный контроль в сфере благоустройства, незамедлительно направляет информацию об этом Главе администрации муниципального образования «Тереньгульский район» для принятия решения о проведении контрольных мероприятий.</w:t>
      </w:r>
    </w:p>
    <w:p>
      <w:pPr>
        <w:pStyle w:val="Style16"/>
        <w:widowControl/>
        <w:suppressAutoHyphens w:val="false"/>
        <w:spacing w:lineRule="auto" w:line="24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center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kern w:val="0"/>
          <w:sz w:val="28"/>
          <w:szCs w:val="28"/>
          <w:lang w:eastAsia="ru-RU" w:bidi="ar-SA"/>
        </w:rPr>
        <w:t>Раздел 4. Показатели результативности и эффективности программы профилактики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 xml:space="preserve"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года № 248-ФЗ «О государственном контроле (надзоре) и муниципальном контроле в Российской Федерации». 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iCs/>
          <w:color w:val="000000"/>
          <w:kern w:val="0"/>
          <w:sz w:val="28"/>
          <w:szCs w:val="28"/>
          <w:lang w:eastAsia="ru-RU" w:bidi="ar-SA"/>
        </w:rPr>
        <w:t>Ключевые показатели вида контроля и их целевые значения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tbl>
      <w:tblPr>
        <w:tblW w:w="9420" w:type="dxa"/>
        <w:jc w:val="lef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70"/>
        <w:gridCol w:w="5670"/>
        <w:gridCol w:w="3180"/>
      </w:tblGrid>
      <w:tr>
        <w:trPr/>
        <w:tc>
          <w:tcPr>
            <w:tcW w:w="5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 xml:space="preserve">№  </w:t>
            </w: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п/п</w:t>
            </w:r>
          </w:p>
        </w:tc>
        <w:tc>
          <w:tcPr>
            <w:tcW w:w="5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3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Величина</w:t>
            </w:r>
          </w:p>
        </w:tc>
      </w:tr>
      <w:tr>
        <w:trPr/>
        <w:tc>
          <w:tcPr>
            <w:tcW w:w="5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5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eastAsia="ru-RU" w:bidi="ar-S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100%(если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>
        <w:trPr/>
        <w:tc>
          <w:tcPr>
            <w:tcW w:w="5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5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szCs w:val="28"/>
                <w:lang w:eastAsia="ru-RU" w:bidi="ar-SA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3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Cs w:val="28"/>
                <w:lang w:eastAsia="ru-RU" w:bidi="ar-SA"/>
              </w:rPr>
              <w:t>100%</w:t>
            </w:r>
          </w:p>
        </w:tc>
      </w:tr>
    </w:tbl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850" w:gutter="0" w:header="0" w:top="1134" w:footer="1134" w:bottom="1831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0605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FontStyle11">
    <w:name w:val="Font Style11"/>
    <w:basedOn w:val="1"/>
    <w:qFormat/>
    <w:rPr>
      <w:rFonts w:ascii="Times New Roman" w:hAnsi="Times New Roman" w:eastAsia="Times New Roman" w:cs="Times New Roman"/>
      <w:b/>
      <w:bCs/>
      <w:spacing w:val="10"/>
      <w:sz w:val="24"/>
      <w:szCs w:val="24"/>
    </w:rPr>
  </w:style>
  <w:style w:type="character" w:styleId="FontStyle16">
    <w:name w:val="Font Style16"/>
    <w:basedOn w:val="1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5">
    <w:name w:val="Текст выноски Знак"/>
    <w:basedOn w:val="Style14"/>
    <w:qFormat/>
    <w:rPr>
      <w:rFonts w:ascii="Segoe UI" w:hAnsi="Segoe UI"/>
      <w:sz w:val="18"/>
      <w:szCs w:val="16"/>
    </w:rPr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9">
    <w:name w:val="List"/>
    <w:basedOn w:val="Style18"/>
    <w:pPr>
      <w:suppressAutoHyphens w:val="true"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11">
    <w:name w:val="Указатель1"/>
    <w:basedOn w:val="Normal"/>
    <w:qFormat/>
    <w:pPr>
      <w:suppressLineNumbers/>
      <w:suppressAutoHyphens w:val="true"/>
    </w:pPr>
    <w:rPr>
      <w:rFonts w:cs="Mangal"/>
    </w:rPr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3">
    <w:name w:val="Заголовок таблицы"/>
    <w:basedOn w:val="Style22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A"/>
      <w:sz w:val="24"/>
      <w:szCs w:val="24"/>
    </w:rPr>
  </w:style>
  <w:style w:type="paragraph" w:styleId="Style24">
    <w:name w:val="Текст выноски"/>
    <w:basedOn w:val="Style16"/>
    <w:qFormat/>
    <w:pPr>
      <w:suppressAutoHyphens w:val="true"/>
    </w:pPr>
    <w:rPr>
      <w:rFonts w:ascii="Segoe UI" w:hAnsi="Segoe UI"/>
      <w:sz w:val="18"/>
      <w:szCs w:val="16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1036</TotalTime>
  <Application>LibreOffice/7.3.2.2$Windows_X86_64 LibreOffice_project/49f2b1bff42cfccbd8f788c8dc32c1c309559be0</Application>
  <AppVersion>15.0000</AppVersion>
  <Pages>7</Pages>
  <Words>1310</Words>
  <Characters>10437</Characters>
  <CharactersWithSpaces>12636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2018-06-06T14:34:00Z</dcterms:created>
  <dc:creator>Новикова Л.Г.</dc:creator>
  <dc:description/>
  <dc:language>ru-RU</dc:language>
  <cp:lastModifiedBy/>
  <cp:lastPrinted>2023-12-19T11:44:01Z</cp:lastPrinted>
  <dcterms:modified xsi:type="dcterms:W3CDTF">2023-12-26T09:48:58Z</dcterms:modified>
  <cp:revision>84</cp:revision>
  <dc:subject/>
  <dc:title>АДМИНИСТРАЦИЯ МУНИЦИПАЛЬНОГО ОБРАЗОВАНИЯ «ТЕРЕНЬГУЛЬСКИЙ РАЙОН»</dc:title>
</cp:coreProperties>
</file>