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suppressAutoHyphens w:val="false"/>
        <w:bidi w:val="0"/>
        <w:spacing w:lineRule="auto" w:line="192"/>
        <w:ind w:left="0" w:right="-283" w:hanging="0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</w:r>
    </w:p>
    <w:p>
      <w:pPr>
        <w:pStyle w:val="Normal"/>
        <w:rPr/>
      </w:pPr>
      <w:r>
        <w:rPr>
          <w:color w:val="000000"/>
        </w:rPr>
        <w:t xml:space="preserve">13 октября </w:t>
      </w:r>
      <w:r>
        <w:rPr>
          <w:color w:val="000000"/>
        </w:rPr>
        <w:t>2022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 xml:space="preserve">                                  </w:t>
        <w:tab/>
      </w:r>
      <w:r>
        <w:rPr>
          <w:rFonts w:ascii="PT Astra Serif" w:hAnsi="PT Astra Serif"/>
          <w:color w:val="000000"/>
          <w:sz w:val="28"/>
          <w:szCs w:val="28"/>
        </w:rPr>
        <w:t xml:space="preserve">№ </w:t>
      </w:r>
      <w:r>
        <w:rPr>
          <w:rFonts w:ascii="PT Astra Serif" w:hAnsi="PT Astra Serif"/>
          <w:color w:val="000000"/>
          <w:sz w:val="28"/>
          <w:szCs w:val="28"/>
        </w:rPr>
        <w:t>582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9645" w:leader="none"/>
        </w:tabs>
        <w:suppressAutoHyphens w:val="false"/>
        <w:bidi w:val="0"/>
        <w:ind w:left="0" w:right="-283" w:hanging="0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внесении изменений в постановление Администрации муниципального  образования «Тереньгульский район» Ульяновской области от 22.08.2014 №523</w:t>
      </w:r>
    </w:p>
    <w:p>
      <w:pPr>
        <w:pStyle w:val="Normal"/>
        <w:widowControl/>
        <w:suppressAutoHyphens w:val="false"/>
        <w:bidi w:val="0"/>
        <w:ind w:left="0" w:right="-283" w:hang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widowControl/>
        <w:suppressAutoHyphens w:val="false"/>
        <w:bidi w:val="0"/>
        <w:ind w:left="0" w:right="-283" w:hang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widowControl/>
        <w:suppressAutoHyphens w:val="false"/>
        <w:bidi w:val="0"/>
        <w:ind w:left="0" w:right="-283" w:hang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Style15"/>
        <w:spacing w:before="0" w:after="0"/>
        <w:jc w:val="both"/>
        <w:rPr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fill="FFFFFF" w:val="clear"/>
        </w:rPr>
        <w:t xml:space="preserve">Администрация муниципального образования «Тереньгульский район» п о с т а н о в л я е т: </w:t>
      </w:r>
    </w:p>
    <w:p>
      <w:pPr>
        <w:pStyle w:val="Style15"/>
        <w:spacing w:before="0" w:after="0"/>
        <w:jc w:val="both"/>
        <w:rPr/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в постановлени</w:t>
      </w:r>
      <w:r>
        <w:rPr>
          <w:b w:val="false"/>
          <w:bCs w:val="false"/>
          <w:sz w:val="28"/>
          <w:szCs w:val="28"/>
        </w:rPr>
        <w:t xml:space="preserve">е </w:t>
      </w:r>
      <w:r>
        <w:rPr>
          <w:b w:val="false"/>
          <w:bCs w:val="false"/>
          <w:color w:val="000000"/>
          <w:sz w:val="28"/>
          <w:szCs w:val="28"/>
        </w:rPr>
        <w:t xml:space="preserve">Администрации муниципального образования «Тереньгульский район» Ульяновской области от 22.08.2014 №523 «О планировании нормотворческой деятельности </w:t>
      </w:r>
      <w:r>
        <w:rPr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муниципального образования «Тереньгульский район» Ульяновской области» </w:t>
      </w:r>
      <w:r>
        <w:rPr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изменение </w:t>
      </w:r>
      <w:r>
        <w:rPr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>изложив приложение №3 в следующей редакции: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 w:val="false"/>
          <w:bCs w:val="false"/>
          <w:sz w:val="28"/>
          <w:szCs w:val="28"/>
        </w:rPr>
        <w:t>«</w:t>
      </w:r>
      <w:r>
        <w:rPr>
          <w:sz w:val="28"/>
          <w:szCs w:val="28"/>
        </w:rPr>
        <w:t xml:space="preserve">   Приложение №</w:t>
      </w:r>
      <w:r>
        <w:rPr>
          <w:sz w:val="28"/>
          <w:szCs w:val="28"/>
        </w:rPr>
        <w:t>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«Тереньгульский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от 22.08.2014 №523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i w:val="false"/>
          <w:strike w:val="false"/>
          <w:dstrike w:val="false"/>
          <w:sz w:val="28"/>
          <w:szCs w:val="28"/>
          <w:u w:val="none"/>
        </w:rPr>
        <w:t>С</w:t>
      </w:r>
      <w:r>
        <w:rPr>
          <w:b/>
          <w:bCs/>
          <w:i w:val="false"/>
          <w:strike w:val="false"/>
          <w:dstrike w:val="false"/>
          <w:sz w:val="28"/>
          <w:szCs w:val="28"/>
          <w:u w:val="none"/>
        </w:rPr>
        <w:t xml:space="preserve">остав </w:t>
      </w:r>
    </w:p>
    <w:p>
      <w:pPr>
        <w:pStyle w:val="Normal"/>
        <w:jc w:val="center"/>
        <w:rPr/>
      </w:pPr>
      <w:r>
        <w:rPr>
          <w:b/>
          <w:bCs/>
          <w:i w:val="false"/>
          <w:strike w:val="false"/>
          <w:dstrike w:val="false"/>
          <w:sz w:val="28"/>
          <w:szCs w:val="28"/>
          <w:u w:val="none"/>
        </w:rPr>
        <w:t xml:space="preserve">Комиссии по </w:t>
      </w:r>
      <w:r>
        <w:rPr>
          <w:b/>
          <w:bCs/>
          <w:i w:val="false"/>
          <w:strike w:val="false"/>
          <w:dstrike w:val="false"/>
          <w:sz w:val="28"/>
          <w:szCs w:val="28"/>
          <w:u w:val="none"/>
        </w:rPr>
        <w:t>нормотворческой деятельности муниципального образования «Тереньгульский район» Ульяновской области</w:t>
      </w:r>
    </w:p>
    <w:p>
      <w:pPr>
        <w:pStyle w:val="Normal"/>
        <w:ind w:left="0" w:righ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tbl>
      <w:tblPr>
        <w:tblW w:w="9315" w:type="dxa"/>
        <w:jc w:val="left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5"/>
        <w:gridCol w:w="5010"/>
      </w:tblGrid>
      <w:tr>
        <w:trPr/>
        <w:tc>
          <w:tcPr>
            <w:tcW w:w="9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/>
              <w:suppressLineNumbers/>
              <w:suppressAutoHyphens w:val="false"/>
              <w:bidi w:val="0"/>
              <w:ind w:left="0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комиссии:  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/>
              <w:suppressLineNumbers/>
              <w:suppressAutoHyphens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Шерстнев Григорий Александрович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/>
              <w:suppressLineNumbers/>
              <w:suppressAutoHyphens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образования «Тере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ьгульский район»</w:t>
            </w:r>
          </w:p>
        </w:tc>
      </w:tr>
      <w:tr>
        <w:trPr/>
        <w:tc>
          <w:tcPr>
            <w:tcW w:w="93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/>
              <w:suppressLineNumbers/>
              <w:suppressAutoHyphens w:val="false"/>
              <w:bidi w:val="0"/>
              <w:ind w:left="0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/>
              <w:suppressLineNumbers/>
              <w:suppressAutoHyphens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Сонина Татьяна Владимировна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/>
              <w:suppressLineNumbers/>
              <w:suppressAutoHyphens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администрации муниципального образования «Тереньгульский район» </w:t>
            </w:r>
          </w:p>
        </w:tc>
      </w:tr>
      <w:tr>
        <w:trPr/>
        <w:tc>
          <w:tcPr>
            <w:tcW w:w="93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/>
              <w:suppressLineNumbers/>
              <w:suppressAutoHyphens w:val="false"/>
              <w:bidi w:val="0"/>
              <w:ind w:left="567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Секретарь комиссии: 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Горячкина Елена</w:t>
            </w:r>
            <w:r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противодействия коррупции </w:t>
            </w:r>
            <w:r>
              <w:rPr>
                <w:sz w:val="28"/>
                <w:szCs w:val="28"/>
              </w:rPr>
              <w:t xml:space="preserve">администрации муниципального образования «Тереньгульский район» </w:t>
            </w:r>
          </w:p>
        </w:tc>
      </w:tr>
      <w:tr>
        <w:trPr/>
        <w:tc>
          <w:tcPr>
            <w:tcW w:w="93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Члены комиссии: 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Абушаева Юлия Расимовна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прокурора Тереньгульского района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Андросова Наталья Викторовна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МУ О</w:t>
            </w:r>
            <w:r>
              <w:rPr>
                <w:sz w:val="28"/>
                <w:szCs w:val="28"/>
              </w:rPr>
              <w:t>тдел образования муниципального образования «Тереньгульский район»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Корытин </w:t>
            </w: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- </w:t>
            </w:r>
            <w:r>
              <w:rPr>
                <w:sz w:val="28"/>
                <w:szCs w:val="28"/>
              </w:rPr>
              <w:t>Начальник управления ТЭР, ЖКХ муниципального образования «Тереньгульский район»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деев Сергей Ир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кович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Навознова Наталья Николаевна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Юрий Васильевич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представитель Уполномоченного по противодействию коррупции в Ульяновской области муниципального образования «Тереньгульски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район» (по согласованию)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Пименова Светлана Анатольевна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ачальник МУ Финансовый отдел </w:t>
            </w:r>
            <w:r>
              <w:rPr>
                <w:color w:val="000000"/>
                <w:sz w:val="28"/>
                <w:szCs w:val="28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Пучкова Татьяна Валерьевна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экономического и стратегического развития администрации муниципального образования «Тереньгульский район» 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Серова Марина Вячеславовна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МУ «Комитет по управлению муниципальным имуществом и земельным отношениям муниципального образования «Тереньгульский район» Ульяновской области 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</w:t>
            </w: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организационного обеспечения </w:t>
            </w:r>
            <w:r>
              <w:rPr>
                <w:sz w:val="28"/>
                <w:szCs w:val="28"/>
              </w:rPr>
              <w:t xml:space="preserve">МУ «Совет депутатов муниципального образования «Тереньгульский район» Ульяновской области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>
        <w:trPr/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Шумилин Вячеслав Викторович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строительства, архитектуры и дорожной деятельности администрации муниципального образования «Тереньгульский район» </w:t>
            </w:r>
          </w:p>
        </w:tc>
      </w:tr>
    </w:tbl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strike w:val="false"/>
          <w:dstrike w:val="false"/>
          <w:sz w:val="26"/>
          <w:szCs w:val="26"/>
          <w:u w:val="none"/>
        </w:rPr>
      </w:pPr>
      <w:r>
        <w:rPr>
          <w:b/>
          <w:bCs/>
          <w:i w:val="false"/>
          <w:strike w:val="false"/>
          <w:dstrike w:val="false"/>
          <w:sz w:val="26"/>
          <w:szCs w:val="26"/>
          <w:u w:val="none"/>
        </w:rPr>
        <w:t>».</w:t>
      </w:r>
    </w:p>
    <w:p>
      <w:pPr>
        <w:pStyle w:val="Style15"/>
        <w:spacing w:before="0" w:after="0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постановление вступает в силу  </w:t>
      </w:r>
      <w:r>
        <w:rPr>
          <w:color w:val="000000"/>
          <w:sz w:val="28"/>
          <w:szCs w:val="28"/>
        </w:rPr>
        <w:t xml:space="preserve">на следующий день </w:t>
      </w:r>
      <w:r>
        <w:rPr>
          <w:color w:val="000000"/>
          <w:sz w:val="28"/>
          <w:szCs w:val="28"/>
        </w:rPr>
        <w:t xml:space="preserve">после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u w:val="none"/>
          <w:lang w:eastAsia="ru-RU"/>
        </w:rPr>
        <w:t>публикования в информационном бюллетене «Вестник района».</w:t>
      </w:r>
    </w:p>
    <w:p>
      <w:pPr>
        <w:pStyle w:val="Style15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5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spacing w:lineRule="auto" w:line="204"/>
        <w:jc w:val="both"/>
        <w:rPr/>
      </w:pPr>
      <w:r>
        <w:rPr/>
      </w:r>
    </w:p>
    <w:p>
      <w:pPr>
        <w:pStyle w:val="Normal"/>
        <w:spacing w:lineRule="auto" w:line="204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szCs w:val="28"/>
        </w:rPr>
      </w:pPr>
      <w:r>
        <w:rPr>
          <w:szCs w:val="28"/>
        </w:rPr>
        <w:t>«Тереньгульский район»</w:t>
        <w:tab/>
        <w:tab/>
        <w:tab/>
        <w:tab/>
        <w:tab/>
        <w:tab/>
        <w:t xml:space="preserve">   Г.А.Шерстнев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sectPr>
      <w:footerReference w:type="default" r:id="rId2"/>
      <w:footerReference w:type="first" r:id="rId3"/>
      <w:type w:val="nextPage"/>
      <w:pgSz w:w="11906" w:h="16838"/>
      <w:pgMar w:left="1695" w:right="971" w:gutter="0" w:header="0" w:top="1134" w:footer="1134" w:bottom="173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lfaen">
    <w:charset w:val="cc"/>
    <w:family w:val="roman"/>
    <w:pitch w:val="variable"/>
  </w:font>
  <w:font w:name="Verdana">
    <w:charset w:val="cc"/>
    <w:family w:val="swiss"/>
    <w:pitch w:val="variable"/>
  </w:font>
  <w:font w:name="Courier New">
    <w:charset w:val="cc"/>
    <w:family w:val="modern"/>
    <w:pitch w:val="default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  <w:t>0012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mirrorMargins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WW8Num2z0">
    <w:name w:val="WW8Num2z0"/>
    <w:qFormat/>
    <w:rPr>
      <w:spacing w:val="-2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1">
    <w:name w:val="Основной шрифт абзаца1"/>
    <w:qFormat/>
    <w:rPr/>
  </w:style>
  <w:style w:type="character" w:styleId="FontStyle30">
    <w:name w:val="Font Style30"/>
    <w:basedOn w:val="21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basedOn w:val="21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basedOn w:val="21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basedOn w:val="21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basedOn w:val="21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basedOn w:val="21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basedOn w:val="21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basedOn w:val="21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basedOn w:val="21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basedOn w:val="21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basedOn w:val="21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basedOn w:val="21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basedOn w:val="21"/>
    <w:qFormat/>
    <w:rPr>
      <w:rFonts w:ascii="Sylfaen" w:hAnsi="Sylfaen" w:cs="Sylfaen"/>
      <w:b/>
      <w:bCs/>
      <w:smallCaps/>
      <w:sz w:val="14"/>
      <w:szCs w:val="1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30"/>
      <w:ind w:left="0" w:right="0" w:firstLine="51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35"/>
      <w:ind w:left="0" w:right="0" w:hanging="1272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187"/>
      <w:ind w:left="0" w:right="0" w:firstLine="2587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1">
    <w:name w:val="Style18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22">
    <w:name w:val="Style2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192"/>
      <w:ind w:left="0" w:right="0" w:firstLine="1243"/>
    </w:pPr>
    <w:rPr>
      <w:sz w:val="24"/>
      <w:szCs w:val="24"/>
    </w:rPr>
  </w:style>
  <w:style w:type="paragraph" w:styleId="Style191">
    <w:name w:val="Style19"/>
    <w:basedOn w:val="Normal"/>
    <w:qFormat/>
    <w:pPr>
      <w:widowControl w:val="false"/>
      <w:autoSpaceDE w:val="false"/>
      <w:spacing w:lineRule="exact" w:line="194"/>
      <w:ind w:left="0" w:right="0" w:firstLine="254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autoSpaceDE w:val="false"/>
      <w:spacing w:lineRule="exact" w:line="197"/>
      <w:ind w:left="0" w:right="0" w:hanging="25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autoSpaceDE w:val="false"/>
      <w:spacing w:lineRule="exact" w:line="197"/>
      <w:jc w:val="both"/>
    </w:pPr>
    <w:rPr>
      <w:sz w:val="24"/>
      <w:szCs w:val="24"/>
    </w:rPr>
  </w:style>
  <w:style w:type="paragraph" w:styleId="13">
    <w:name w:val="1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pPr>
      <w:suppressLineNumbers/>
      <w:tabs>
        <w:tab w:val="clear" w:pos="720"/>
        <w:tab w:val="center" w:pos="4620" w:leader="none"/>
        <w:tab w:val="right" w:pos="9240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</TotalTime>
  <Application>LibreOffice/7.3.2.2$Windows_X86_64 LibreOffice_project/49f2b1bff42cfccbd8f788c8dc32c1c309559be0</Application>
  <AppVersion>15.0000</AppVersion>
  <Pages>3</Pages>
  <Words>329</Words>
  <Characters>2823</Characters>
  <CharactersWithSpaces>3624</CharactersWithSpaces>
  <Paragraphs>58</Paragraphs>
  <Company>КонсультантПлюс Версия 4017.00.99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2019-02-04T16:09:00Z</dcterms:created>
  <dc:creator/>
  <dc:description/>
  <dc:language>ru-RU</dc:language>
  <cp:lastModifiedBy/>
  <cp:lastPrinted>2022-10-12T09:08:42Z</cp:lastPrinted>
  <dcterms:modified xsi:type="dcterms:W3CDTF">2022-10-13T15:44:03Z</dcterms:modified>
  <cp:revision>35</cp:revision>
  <dc:subject/>
  <dc:title>Распоряжение Правительства РФ от 18.10.2018 N 2258-р&lt;Об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