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06 октября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 2022 г.</w:t>
        <w:tab/>
        <w:tab/>
        <w:tab/>
        <w:tab/>
        <w:tab/>
        <w:t xml:space="preserve">                     №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569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lang w:eastAsia="en-US" w:bidi="en-US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Экз. № _______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tbl>
      <w:tblPr>
        <w:tblW w:w="929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«</w:t>
            </w: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  <w:t xml:space="preserve">Управление муниципальными финансами в муниципальном образовании «Тереньгульский район»» 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</w:tc>
      </w:tr>
    </w:tbl>
    <w:p>
      <w:pPr>
        <w:pStyle w:val="Style37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статьей 179 Бюджетного кодекса Российской Федерации в целях обеспечения сбалансированности, устойчивости бюджета муниципального образования «Тереньгульский район», создания условий для качественной организации бюджетного процесса в муниципальном образовании «Тереньгульский район», администрация муниципального образования «Тереньгульский район» п о с т а н о в л я е т:</w:t>
      </w:r>
    </w:p>
    <w:p>
      <w:pPr>
        <w:pStyle w:val="Normal"/>
        <w:ind w:left="0" w:right="0" w:firstLine="709"/>
        <w:jc w:val="both"/>
        <w:textAlignment w:val="auto"/>
        <w:rPr/>
      </w:pPr>
      <w:r>
        <w:rPr>
          <w:rFonts w:cs="PT Astra Serif" w:ascii="PT Astra Serif" w:hAnsi="PT Astra Serif"/>
          <w:sz w:val="28"/>
          <w:szCs w:val="28"/>
        </w:rPr>
        <w:t>1. Утвердить прилагаемую муниципальную программу «</w:t>
      </w:r>
      <w:r>
        <w:rPr>
          <w:rFonts w:cs="PT Astra Serif" w:ascii="PT Astra Serif" w:hAnsi="PT Astra Serif"/>
          <w:sz w:val="28"/>
          <w:szCs w:val="28"/>
          <w:lang w:eastAsia="en-US" w:bidi="en-US"/>
        </w:rPr>
        <w:t>Управление муниципальными финансами в муниципальном образовании «Тереньгульский район»</w:t>
      </w:r>
      <w:r>
        <w:rPr>
          <w:rFonts w:cs="PT Astra Serif" w:ascii="PT Astra Serif" w:hAnsi="PT Astra Serif"/>
          <w:sz w:val="28"/>
          <w:szCs w:val="28"/>
        </w:rPr>
        <w:t>».</w:t>
      </w:r>
    </w:p>
    <w:p>
      <w:pPr>
        <w:pStyle w:val="Normal"/>
        <w:ind w:left="0" w:right="0" w:firstLine="709"/>
        <w:jc w:val="both"/>
        <w:textAlignment w:val="auto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Муниципальному учреждению Финансовый отдел муниципального образования «Тереньгульский район» предусмотреть в бюджете муниципального образования «Тереньгульский район» финансовые средства на реализацию настоящей программы.</w:t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Настоящее постановление вступает в силу с 01 января 2023 года и подлежит опубликованию в информационном бюллетене «Вестник района».</w:t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8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8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8"/>
          <w:tab w:val="left" w:pos="77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Г.А. Шерстнев</w:t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Приложение </w:t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к постановлению администрации </w:t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муниципального образования </w:t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«Тереньгульский район»</w:t>
      </w:r>
    </w:p>
    <w:p>
      <w:pPr>
        <w:pStyle w:val="Standard"/>
        <w:jc w:val="right"/>
        <w:rPr/>
      </w:pPr>
      <w:r>
        <w:rPr>
          <w:rFonts w:cs="PT Astra Serif" w:ascii="PT Astra Serif" w:hAnsi="PT Astra Serif"/>
        </w:rPr>
        <w:t>№</w:t>
      </w:r>
      <w:r>
        <w:rPr>
          <w:rFonts w:eastAsia="PT Astra Serif" w:cs="PT Astra Serif" w:ascii="PT Astra Serif" w:hAnsi="PT Astra Serif"/>
        </w:rPr>
        <w:t xml:space="preserve"> </w:t>
      </w:r>
      <w:r>
        <w:rPr>
          <w:rFonts w:eastAsia="PT Astra Serif" w:cs="PT Astra Serif" w:ascii="PT Astra Serif" w:hAnsi="PT Astra Serif"/>
        </w:rPr>
        <w:t>____</w:t>
      </w:r>
      <w:r>
        <w:rPr>
          <w:rFonts w:cs="PT Astra Serif" w:ascii="PT Astra Serif" w:hAnsi="PT Astra Serif"/>
        </w:rPr>
        <w:t xml:space="preserve"> от  ____________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44"/>
          <w:szCs w:val="44"/>
        </w:rPr>
      </w:pPr>
      <w:r>
        <w:rPr>
          <w:rFonts w:cs="PT Astra Serif" w:ascii="PT Astra Serif" w:hAnsi="PT Astra Serif"/>
          <w:b/>
          <w:bCs/>
          <w:sz w:val="44"/>
          <w:szCs w:val="44"/>
        </w:rPr>
        <w:t xml:space="preserve">Муниципальная программа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44"/>
          <w:szCs w:val="44"/>
        </w:rPr>
      </w:pPr>
      <w:r>
        <w:rPr>
          <w:rFonts w:cs="PT Astra Serif" w:ascii="PT Astra Serif" w:hAnsi="PT Astra Serif"/>
          <w:b/>
          <w:bCs/>
          <w:sz w:val="44"/>
          <w:szCs w:val="44"/>
        </w:rPr>
        <w:t xml:space="preserve">«Управление муниципальными финансами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44"/>
          <w:szCs w:val="44"/>
        </w:rPr>
      </w:pPr>
      <w:r>
        <w:rPr>
          <w:rFonts w:cs="PT Astra Serif" w:ascii="PT Astra Serif" w:hAnsi="PT Astra Serif"/>
          <w:b/>
          <w:bCs/>
          <w:sz w:val="44"/>
          <w:szCs w:val="44"/>
        </w:rPr>
        <w:t>«Тереньгульский район»»</w:t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44"/>
          <w:szCs w:val="44"/>
        </w:rPr>
      </w:pPr>
      <w:r>
        <w:rPr>
          <w:rFonts w:cs="PT Astra Serif" w:ascii="PT Astra Serif" w:hAnsi="PT Astra Serif"/>
          <w:sz w:val="44"/>
          <w:szCs w:val="44"/>
        </w:rPr>
      </w:r>
    </w:p>
    <w:p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Паспорт программы «Муниципальное управление» в муниципальном образовании 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tbl>
      <w:tblPr>
        <w:tblW w:w="9400" w:type="dxa"/>
        <w:jc w:val="left"/>
        <w:tblInd w:w="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89"/>
        <w:gridCol w:w="5911"/>
      </w:tblGrid>
      <w:tr>
        <w:trPr>
          <w:trHeight w:val="567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«Управление муниципальными финансами в муниципальном образовании «Тереньгульский район»»</w:t>
            </w:r>
          </w:p>
          <w:p>
            <w:pPr>
              <w:pStyle w:val="Standard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Муниципальный заказчик муниципальной программы (муниципальный заказчик-координатор муниципальной программы)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/>
            </w:pPr>
            <w:r>
              <w:rPr>
                <w:rFonts w:cs="PT Astra Serif" w:ascii="PT Astra Serif" w:hAnsi="PT Astra Serif"/>
              </w:rPr>
              <w:t>М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униципальное учреждение Финансовый отдел  муниципального образования «Тереньгульский район»</w:t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91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Отсутствуют</w:t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1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Отсутствуют</w:t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91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Отсутствуют</w:t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/>
            </w:pPr>
            <w:r>
              <w:rPr/>
              <w:t xml:space="preserve">организация бюджетного процесса; </w:t>
            </w:r>
          </w:p>
          <w:p>
            <w:pPr>
              <w:pStyle w:val="Standard"/>
              <w:rPr/>
            </w:pPr>
            <w:r>
              <w:rPr/>
              <w:t xml:space="preserve">обеспечение роста поступлений налоговых и неналоговых доходов в бюджет муниципального образования; </w:t>
            </w:r>
          </w:p>
          <w:p>
            <w:pPr>
              <w:pStyle w:val="Standard"/>
              <w:rPr/>
            </w:pPr>
            <w:r>
              <w:rPr/>
              <w:t>эффективное управление бюджетными расходами;</w:t>
            </w:r>
          </w:p>
          <w:p>
            <w:pPr>
              <w:pStyle w:val="Standard"/>
              <w:rPr/>
            </w:pPr>
            <w:r>
              <w:rPr/>
              <w:t>обеспечение сбалансированности и устойчивости бюджетной системы</w:t>
            </w:r>
          </w:p>
          <w:p>
            <w:pPr>
              <w:pStyle w:val="Standard"/>
              <w:rPr>
                <w:rFonts w:ascii="PT Astra Serif" w:hAnsi="PT Astra Serif" w:cs="PT Astra Serif"/>
                <w:spacing w:val="-4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pacing w:val="-4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составление проекта бюджета района в установленные сроки в соответствии с бюджетным законодательством;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соблюдение сроков утверждения сводной бюджетной росписи бюджета района;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своевременное доведение лимитов бюджетных обязательств до главных распорядителей бюджетных средств;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обеспечение расходных обязательств средствами бюджета района в объёме, утверждённом решением Совета депутатов о бюджете района на очередной финансовый год и на плановый период;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>составление годового отчёта об исполнении бюджета района в установленный срок;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 </w:t>
            </w:r>
            <w:r>
              <w:rPr/>
              <w:t xml:space="preserve">выполнение финансовым управлением утверждённого плана контрольной работы;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наличие результатов оценки мониторинга качества финансового менеджмента, осуществляемого главными распорядителями средств бюджета района;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отношение фактического объёма средств бюджета района, направляемых на выравнивание бюджетной обеспеченности и на сбалансированность бюджетов поселений, к утверждённому плановому значению;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перечисление межбюджетных трансфертов бюджетам поселений из бюджета района, предусмотренных муниципальной программой, в объёме, утверждённом решением Совета депутатов о бюджете района на очередной финансовый год и на плановый период; </w:t>
            </w:r>
          </w:p>
          <w:p>
            <w:pPr>
              <w:pStyle w:val="Standard"/>
              <w:numPr>
                <w:ilvl w:val="0"/>
                <w:numId w:val="2"/>
              </w:numPr>
              <w:rPr/>
            </w:pPr>
            <w:r>
              <w:rPr/>
              <w:t xml:space="preserve"> </w:t>
            </w:r>
            <w:r>
              <w:rPr/>
              <w:t>рост поступлений налоговых и неналоговых доходов</w:t>
            </w:r>
          </w:p>
        </w:tc>
      </w:tr>
      <w:tr>
        <w:trPr>
          <w:trHeight w:val="567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Сроки и этапы  реализации муниципальной программы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Муниципальная программа реализуется с 2023 по 2027 годы. Этапы не предусмотрены.</w:t>
            </w:r>
          </w:p>
        </w:tc>
      </w:tr>
      <w:tr>
        <w:trPr>
          <w:trHeight w:val="754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spacing w:before="114" w:after="114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Объем финансирования муниципальной программы за счет средств бюджета МО «Тереньгульский район» составит 93255,525 тыс. руб., в т.ч.:</w:t>
            </w:r>
          </w:p>
          <w:p>
            <w:pPr>
              <w:pStyle w:val="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2023 год  - 19973,745 тыс. рублей;</w:t>
            </w:r>
          </w:p>
          <w:p>
            <w:pPr>
              <w:pStyle w:val="Standard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2024 год -  20593,885 тыс. рублей;</w:t>
            </w:r>
          </w:p>
          <w:p>
            <w:pPr>
              <w:pStyle w:val="Standard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2025 год -  21231,515 тыс. рублей;</w:t>
            </w:r>
          </w:p>
          <w:p>
            <w:pPr>
              <w:pStyle w:val="Standard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2026 год -  15379,460 тыс. рублей;</w:t>
            </w:r>
          </w:p>
          <w:p>
            <w:pPr>
              <w:pStyle w:val="Standard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2027 год -  16076,920 тыс. рублей.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Объемы финансирования на выполнение мероприятий Программы ежегодно уточняются в процессе исполнения бюджета и при формировании бюджета на очередной финансовый год и плановый период.</w:t>
            </w:r>
          </w:p>
        </w:tc>
      </w:tr>
      <w:tr>
        <w:trPr>
          <w:trHeight w:val="754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Bodytext"/>
              <w:shd w:fill="auto" w:val="clear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муниципальной  программы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Style46"/>
              <w:snapToGrid w:val="false"/>
              <w:spacing w:lineRule="atLeast" w:line="20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Реализация проектов не предусмотрена</w:t>
            </w:r>
          </w:p>
        </w:tc>
      </w:tr>
      <w:tr>
        <w:trPr>
          <w:trHeight w:val="836" w:hRule="atLeast"/>
        </w:trPr>
        <w:tc>
          <w:tcPr>
            <w:tcW w:w="3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Standard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Standard"/>
              <w:rPr/>
            </w:pPr>
            <w:r>
              <w:rPr/>
              <w:t xml:space="preserve">1.составление проекта бюджета района в установленные сроки в соответствии с бюджетным законодательством; </w:t>
            </w:r>
          </w:p>
          <w:p>
            <w:pPr>
              <w:pStyle w:val="Standard"/>
              <w:rPr/>
            </w:pPr>
            <w:r>
              <w:rPr/>
              <w:t xml:space="preserve">2.соблюдение сроков утверждения сводной бюджетной росписи бюджета района; </w:t>
            </w:r>
          </w:p>
          <w:p>
            <w:pPr>
              <w:pStyle w:val="Standard"/>
              <w:rPr/>
            </w:pPr>
            <w:r>
              <w:rPr/>
              <w:t xml:space="preserve">3.своевременное доведение лимитов бюджетных обязательств до главных распорядителей бюджетных средств; </w:t>
            </w:r>
          </w:p>
          <w:p>
            <w:pPr>
              <w:pStyle w:val="Standard"/>
              <w:rPr/>
            </w:pPr>
            <w:r>
              <w:rPr/>
              <w:t xml:space="preserve">4. 100 % обеспечение расходных обязательств средствами бюджета района в объёме, утверждённом решением Совета депутатов о бюджете района на очередной финансовый год и на плановый период; </w:t>
            </w:r>
          </w:p>
          <w:p>
            <w:pPr>
              <w:pStyle w:val="Standard"/>
              <w:rPr/>
            </w:pPr>
            <w:r>
              <w:rPr/>
              <w:t xml:space="preserve">5. составление годового отчёта об исполнении бюджета района в установленный срок; </w:t>
            </w:r>
          </w:p>
          <w:p>
            <w:pPr>
              <w:pStyle w:val="Standard"/>
              <w:rPr/>
            </w:pPr>
            <w:r>
              <w:rPr/>
              <w:t xml:space="preserve">6. 100 % выполнение финансовым управлением утверждённого плана контрольной работы; </w:t>
            </w:r>
          </w:p>
          <w:p>
            <w:pPr>
              <w:pStyle w:val="Standard"/>
              <w:rPr/>
            </w:pPr>
            <w:r>
              <w:rPr/>
              <w:t xml:space="preserve">7. наличие результатов оценки мониторинга качества финансового менеджмента, осуществляемого главными распорядителями средств бюджета района; </w:t>
            </w:r>
          </w:p>
          <w:p>
            <w:pPr>
              <w:pStyle w:val="Standard"/>
              <w:rPr/>
            </w:pPr>
            <w:r>
              <w:rPr/>
              <w:t xml:space="preserve">8. отношение фактического объёма средств бюджета района, направляемых на выравнивание бюджетной обеспеченности и на сбалансированность бюджетов поселений, к утверждённому плановому значению – 100 %; </w:t>
            </w:r>
          </w:p>
          <w:p>
            <w:pPr>
              <w:pStyle w:val="Standard"/>
              <w:rPr/>
            </w:pPr>
            <w:r>
              <w:rPr/>
              <w:t xml:space="preserve">9. 100 % перечисление межбюджетных трансфертов бюджетам поселений из бюджета района, предусмотренных муниципальной программой, в объёме, утверждённом решением Совета депутатов о бюджете района на очередной финансовый год и на плановый период; </w:t>
            </w:r>
          </w:p>
          <w:p>
            <w:pPr>
              <w:pStyle w:val="Standard"/>
              <w:rPr/>
            </w:pPr>
            <w:r>
              <w:rPr/>
              <w:t>10. исполнение плановых показателей поступления доходов в размере 100%</w:t>
            </w:r>
          </w:p>
        </w:tc>
      </w:tr>
    </w:tbl>
    <w:p>
      <w:pPr>
        <w:pStyle w:val="Standard"/>
        <w:ind w:left="0" w:right="0" w:firstLine="567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andard"/>
        <w:ind w:left="0" w:right="0" w:firstLine="567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1. ВВЕДЕНИЕ.</w:t>
      </w:r>
    </w:p>
    <w:p>
      <w:pPr>
        <w:pStyle w:val="Standard"/>
        <w:ind w:left="0" w:right="0" w:firstLine="567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1.1. Характеристика проблем, на решение которых направлена муниципальная программа.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Муниципальная программа «Управление муниципальными финансами муниципального образования «Тереньгульский район» на 2023-2027 годы» разработана в соответствии с Бюджетным Кодексом Российской Федерации, постановлением Администрации муниципального образования «Тереньгульский район» от</w:t>
      </w:r>
      <w:r>
        <w:rPr>
          <w:rFonts w:cs="PT Astra Serif" w:ascii="PT Astra Serif" w:hAnsi="PT Astra Serif"/>
          <w:bCs/>
          <w:sz w:val="28"/>
          <w:szCs w:val="28"/>
        </w:rPr>
        <w:t xml:space="preserve"> 26.12.2020 № 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  <w:r>
        <w:rPr>
          <w:rFonts w:cs="PT Astra Serif" w:ascii="PT Astra Serif" w:hAnsi="PT Astra Serif"/>
          <w:sz w:val="28"/>
        </w:rPr>
        <w:t>»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Обеспечение сбалансированности и устойчивости бюджета муниципального образования </w:t>
      </w:r>
      <w:r>
        <w:rPr>
          <w:rFonts w:cs="PT Astra Serif" w:ascii="PT Astra Serif" w:hAnsi="PT Astra Serif"/>
          <w:kern w:val="2"/>
          <w:sz w:val="28"/>
          <w:szCs w:val="28"/>
          <w:lang w:eastAsia="hi-IN" w:bidi="hi-IN"/>
        </w:rPr>
        <w:t>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является одним из основных условий достижения стратегических целей социально-экономического развития муниципального образования </w:t>
      </w:r>
      <w:r>
        <w:rPr>
          <w:rFonts w:cs="PT Astra Serif" w:ascii="PT Astra Serif" w:hAnsi="PT Astra Serif"/>
          <w:kern w:val="2"/>
          <w:sz w:val="28"/>
          <w:szCs w:val="28"/>
          <w:lang w:eastAsia="hi-IN" w:bidi="hi-IN"/>
        </w:rPr>
        <w:t>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. Поэтому одними из приоритетных направлений бюджетной и налоговой политики муниципального образования </w:t>
      </w:r>
      <w:r>
        <w:rPr>
          <w:rFonts w:cs="PT Astra Serif" w:ascii="PT Astra Serif" w:hAnsi="PT Astra Serif"/>
          <w:kern w:val="2"/>
          <w:sz w:val="28"/>
          <w:szCs w:val="28"/>
          <w:lang w:eastAsia="hi-IN" w:bidi="hi-IN"/>
        </w:rPr>
        <w:t>«Тереньгульский район»</w:t>
      </w:r>
      <w:r>
        <w:rPr>
          <w:rFonts w:cs="PT Astra Serif" w:ascii="PT Astra Serif" w:hAnsi="PT Astra Serif"/>
          <w:sz w:val="28"/>
          <w:szCs w:val="28"/>
        </w:rPr>
        <w:t xml:space="preserve">  на протяжении </w:t>
      </w:r>
      <w:r>
        <w:rPr>
          <w:rFonts w:cs="PT Astra Serif" w:ascii="PT Astra Serif" w:hAnsi="PT Astra Serif"/>
          <w:spacing w:val="-2"/>
          <w:sz w:val="28"/>
          <w:szCs w:val="28"/>
        </w:rPr>
        <w:t xml:space="preserve">последних лет являются </w:t>
      </w:r>
      <w:r>
        <w:rPr>
          <w:rFonts w:cs="PT Astra Serif" w:ascii="PT Astra Serif" w:hAnsi="PT Astra Serif"/>
          <w:sz w:val="28"/>
          <w:szCs w:val="28"/>
        </w:rPr>
        <w:t>сохранение и развитие налогового потенциала муниципального образования «Тереньгульский район»</w:t>
      </w:r>
      <w:r>
        <w:rPr>
          <w:rFonts w:cs="PT Astra Serif" w:ascii="PT Astra Serif" w:hAnsi="PT Astra Serif"/>
          <w:spacing w:val="-2"/>
          <w:sz w:val="28"/>
          <w:szCs w:val="28"/>
        </w:rPr>
        <w:t xml:space="preserve">, </w:t>
      </w:r>
      <w:r>
        <w:rPr>
          <w:rFonts w:cs="PT Astra Serif" w:ascii="PT Astra Serif" w:hAnsi="PT Astra Serif"/>
          <w:sz w:val="28"/>
          <w:szCs w:val="28"/>
        </w:rPr>
        <w:t>сохранение относительно постоянного уровня муниципальных расходов, дальнейшая реализация принципа формирования бюджета муниципального образования «Тереньгульский район» на основе государственных и муниципальных программ.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Реализация муниципальной бюджетной политики применительно к Финансовому отделу обеспечивается</w:t>
      </w:r>
      <w:r>
        <w:rPr>
          <w:rFonts w:cs="PT Astra Serif" w:ascii="PT Astra Serif" w:hAnsi="PT Astra Serif"/>
          <w:iCs/>
          <w:sz w:val="28"/>
          <w:szCs w:val="28"/>
        </w:rPr>
        <w:t>,</w:t>
      </w:r>
      <w:r>
        <w:rPr>
          <w:rFonts w:cs="PT Astra Serif" w:ascii="PT Astra Serif" w:hAnsi="PT Astra Serif"/>
          <w:i/>
          <w:iCs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прежде всего, разработкой необходимой нормативно-правовой базы по организации бюджетного процесса в пределах </w:t>
      </w:r>
      <w:r>
        <w:rPr>
          <w:rFonts w:cs="PT Astra Serif" w:ascii="PT Astra Serif" w:hAnsi="PT Astra Serif"/>
          <w:spacing w:val="-2"/>
          <w:sz w:val="28"/>
          <w:szCs w:val="28"/>
        </w:rPr>
        <w:t xml:space="preserve">установленных полномочий, а также непосредственное исполнение функций финансового 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органа по формированию сбалансированного проекта бюджета </w:t>
      </w: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cs="PT Astra Serif" w:ascii="PT Astra Serif" w:hAnsi="PT Astra Serif"/>
          <w:kern w:val="2"/>
          <w:sz w:val="28"/>
          <w:szCs w:val="28"/>
          <w:lang w:eastAsia="hi-IN" w:bidi="hi-IN"/>
        </w:rPr>
        <w:t>«Тереньгульский район»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, организации исполнения бюджета </w:t>
      </w: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cs="PT Astra Serif" w:ascii="PT Astra Serif" w:hAnsi="PT Astra Serif"/>
          <w:kern w:val="2"/>
          <w:sz w:val="28"/>
          <w:szCs w:val="28"/>
          <w:lang w:eastAsia="hi-IN" w:bidi="hi-IN"/>
        </w:rPr>
        <w:t>«Тереньгульский район»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, </w:t>
      </w:r>
      <w:r>
        <w:rPr>
          <w:rFonts w:cs="PT Astra Serif" w:ascii="PT Astra Serif" w:hAnsi="PT Astra Serif"/>
          <w:sz w:val="28"/>
          <w:szCs w:val="28"/>
        </w:rPr>
        <w:t xml:space="preserve">составлению консолидированной отчетности об исполнении бюджета муниципального образования </w:t>
      </w:r>
      <w:r>
        <w:rPr>
          <w:rFonts w:cs="PT Astra Serif" w:ascii="PT Astra Serif" w:hAnsi="PT Astra Serif"/>
          <w:kern w:val="2"/>
          <w:sz w:val="28"/>
          <w:szCs w:val="28"/>
          <w:lang w:eastAsia="hi-IN" w:bidi="hi-IN"/>
        </w:rPr>
        <w:t>«Тереньгульский район»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autoSpaceDE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Состояние показателей, определенных в программе в качестве целевых, характеризуется следующим. </w:t>
      </w:r>
    </w:p>
    <w:p>
      <w:pPr>
        <w:pStyle w:val="Normal"/>
        <w:ind w:left="0" w:right="-1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-1" w:firstLine="567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Динамика изменения значений показателей</w:t>
      </w:r>
    </w:p>
    <w:p>
      <w:pPr>
        <w:pStyle w:val="Normal"/>
        <w:ind w:left="-567" w:right="-1" w:hanging="0"/>
        <w:jc w:val="center"/>
        <w:rPr>
          <w:rFonts w:ascii="PT Astra Serif" w:hAnsi="PT Astra Serif" w:cs="PT Astra Serif"/>
          <w:sz w:val="28"/>
          <w:szCs w:val="28"/>
          <w:shd w:fill="FFFF00" w:val="clear"/>
        </w:rPr>
      </w:pPr>
      <w:r>
        <w:rPr>
          <w:rFonts w:cs="PT Astra Serif" w:ascii="PT Astra Serif" w:hAnsi="PT Astra Serif"/>
          <w:sz w:val="28"/>
          <w:szCs w:val="28"/>
          <w:shd w:fill="FFFF00" w:val="clear"/>
        </w:rPr>
      </w:r>
    </w:p>
    <w:tbl>
      <w:tblPr>
        <w:tblW w:w="9630" w:type="dxa"/>
        <w:jc w:val="left"/>
        <w:tblInd w:w="-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80"/>
        <w:gridCol w:w="5860"/>
        <w:gridCol w:w="1275"/>
        <w:gridCol w:w="993"/>
        <w:gridCol w:w="1122"/>
      </w:tblGrid>
      <w:tr>
        <w:trPr>
          <w:trHeight w:val="600" w:hRule="atLeast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№</w:t>
            </w: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/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Значение показателя</w:t>
            </w:r>
            <w:r>
              <w:rPr>
                <w:rFonts w:cs="PT Astra Serif" w:ascii="PT Astra Serif" w:hAnsi="PT Astra Serif"/>
                <w:b/>
                <w:sz w:val="22"/>
                <w:szCs w:val="22"/>
                <w:lang w:val="en-US"/>
              </w:rPr>
              <w:t xml:space="preserve"> </w:t>
            </w:r>
          </w:p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по годам</w:t>
            </w:r>
          </w:p>
        </w:tc>
      </w:tr>
      <w:tr>
        <w:trPr>
          <w:trHeight w:val="400" w:hRule="atLeast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2019</w:t>
            </w:r>
          </w:p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2020</w:t>
            </w:r>
          </w:p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2021</w:t>
            </w:r>
          </w:p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год</w:t>
            </w:r>
          </w:p>
        </w:tc>
      </w:tr>
      <w:tr>
        <w:trPr>
          <w:trHeight w:val="400" w:hRule="atLeast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Составления проекта решения Совета депутатов  «О бюджете муниципального образования «Тереньгульский район» на очередной финансовый год и плановый период» в установленные законодательством сроки (да/нет)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</w:tr>
      <w:tr>
        <w:trPr>
          <w:trHeight w:val="400" w:hRule="atLeast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Соблюдение сроков утверждения сводной бюджетной росписи бюджета муниципального образования «Тереньгульский район» (да/нет)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</w:tr>
      <w:tr>
        <w:trPr>
          <w:trHeight w:val="400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sz w:val="22"/>
                <w:szCs w:val="22"/>
              </w:rPr>
              <w:t>Своевременное доведение лимитов бюджетных обязательств до главных распорядителей средств бюджета муниципального образования «Тереньгульский район» (да/нет)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szCs w:val="24"/>
              </w:rPr>
              <w:t>4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sz w:val="22"/>
                <w:szCs w:val="22"/>
              </w:rPr>
              <w:t>Составление годового отчета об исполнении бюджета муниципального образования «Тереньгульский район» в установленный законодательством срок(да/нет)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Да</w:t>
            </w:r>
          </w:p>
        </w:tc>
      </w:tr>
      <w:tr>
        <w:trPr>
          <w:trHeight w:val="415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szCs w:val="24"/>
              </w:rPr>
              <w:t>5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sz w:val="22"/>
                <w:szCs w:val="22"/>
              </w:rPr>
              <w:t>Выполнение утвержденного плана контрольной работы (да/нет)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</w:tr>
      <w:tr>
        <w:trPr>
          <w:trHeight w:val="415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szCs w:val="24"/>
              </w:rPr>
              <w:t>6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ind w:left="0" w:right="0" w:hanging="0"/>
              <w:rPr>
                <w:rFonts w:ascii="PT Astra Serif" w:hAnsi="PT Astra Serif" w:cs="PT Astra Serif"/>
                <w:b w:val="false"/>
                <w:b w:val="false"/>
                <w:sz w:val="22"/>
                <w:szCs w:val="22"/>
              </w:rPr>
            </w:pPr>
            <w:r>
              <w:rPr>
                <w:rFonts w:cs="PT Astra Serif" w:ascii="PT Astra Serif" w:hAnsi="PT Astra Serif"/>
                <w:b w:val="false"/>
                <w:sz w:val="22"/>
                <w:szCs w:val="22"/>
              </w:rPr>
              <w:t>Наличие результатов оценки мониторинга качества финансового менеджмента, осуществляемого главными распорядителями средств бюджета муниципального образования «Тереньгульский район» (да/нет)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2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Отношение фактического объема средств бюджета муниципального образования «Тереньгульский район», направленных на выравнивание бюджетной обеспеченности городского и сельских поселений, входящих в состав муниципального образования «Тереньгульский район» к утвержденному плановому значению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8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2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Перечисление межбюджетных трансфертов бюджетам поселений в объеме, утвержденном  решением Совета депутатов муниципального образования «Тереньгульский район» ««О бюджете муниципального образования «Тереньгульский район» на очередной финансовый год и плановый период»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2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Выполнение плановых назначений по налоговым и неналоговым доходам не менее 100 %.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100%</w:t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Одним из механизмов поддержания и повышения сложившегося уровня управления муниципальными финансами должно стать формирование соответствующих мероприятий в рамках целостного программного документа – П</w:t>
      </w:r>
      <w:r>
        <w:rPr>
          <w:rFonts w:cs="PT Astra Serif" w:ascii="PT Astra Serif" w:hAnsi="PT Astra Serif"/>
          <w:spacing w:val="-2"/>
          <w:sz w:val="28"/>
          <w:szCs w:val="28"/>
        </w:rPr>
        <w:t>рограммы</w:t>
      </w:r>
      <w:r>
        <w:rPr>
          <w:rFonts w:cs="PT Astra Serif" w:ascii="PT Astra Serif" w:hAnsi="PT Astra Serif"/>
          <w:sz w:val="28"/>
          <w:szCs w:val="28"/>
        </w:rPr>
        <w:t>, который, с одной  стороны, обеспечит преемственность достигнутых результатов и их дальнейшее совершенствование, с другой стороны, позволит продолжить внедрение инновационных направлений в организации бюджетного процесса в условиях изменяющегося бюджетного законодательства и требований государственной бюджетной политики.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При этом, с учетом особенностей полномочий финансового органа по нормативному и методическому регулированию в установленной сфере деятельности, П</w:t>
      </w:r>
      <w:r>
        <w:rPr>
          <w:rFonts w:cs="PT Astra Serif" w:ascii="PT Astra Serif" w:hAnsi="PT Astra Serif"/>
          <w:spacing w:val="-2"/>
          <w:sz w:val="28"/>
          <w:szCs w:val="28"/>
        </w:rPr>
        <w:t>рограмма ориентирована, в том числе, и на создание условий для осуществления бюджетной деятельности всеми</w:t>
      </w:r>
      <w:r>
        <w:rPr>
          <w:rFonts w:cs="PT Astra Serif" w:ascii="PT Astra Serif" w:hAnsi="PT Astra Serif"/>
          <w:sz w:val="28"/>
          <w:szCs w:val="28"/>
        </w:rPr>
        <w:t xml:space="preserve"> участниками бюджетного процесса. </w:t>
      </w:r>
    </w:p>
    <w:p>
      <w:pPr>
        <w:pStyle w:val="Normal"/>
        <w:autoSpaceDE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В рамках Программы будут реализованы следующие основные мероприятия: 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- обеспечение выполнения функций Финансового отдела муниципального образования «Тереньгульский район»;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-совершенствование межбюджетных отношений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Мероприятие 1. Обеспечение выполнение функций Финансового отдела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Финансовый отдел (далее – Отдел) создан в целях реализации части вопроса местного значения по формированию, исполнению местного бюджета и контролю за исполнением данного бюджета, а также обеспечения исполнения вопроса местного значения по установлению, изменению и отмене местных налогов и сборов и является финансовым органом муниципального образования «Тереньгульский район».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Содержание полномочий Отдела отражено в Положении о Финансовом отделе.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Основной функциональной направленностью деятельности Отдела является организация бюджетного процесса в пределах установленных полномочий.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При непосредственном участии Отдела организация бюджетного процесса на муниципальном уровне характеризуется следующим: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- в муниципальном образовании имеется достаточная нормативно-правовая база по вопросам организации бюджетного процесса и исполнения бюджета, отвечающая современным требованиям бюджетного законодательства;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- создана единая методологическая база прогнозирования доходов, подлежащих зачислению в бюджет муниципального образования «Тереньгульский район»;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- в практике бюджетного планирования используются муниципальные программы, доклады главных распорядителей бюджетных средств о результатах и основных направлениях деятельности.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>Четкая организация установленных бюджетных процедур, своевременность и полнота подготовки проекта бюджета муниципального образования «Тереньгульский район», упреждающая оценка влияния на его параметры изменений законодательства и социально-экономической ситуации, работа по мобилизации доходов бюджета, обеспечение исполнения бюджета, осуществление контроля за операциями с бюджетными средствами остаются важными составляющими бюджетной деятельности муниципального образования.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В соответствии с закрепленной компетенцией, координирующим органом по решению обозначенных задач является Отдел в рамках своей текущей функциональной деятельности.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Ресурсное обеспечение мероприятия.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мероприятия составляет </w:t>
      </w:r>
      <w:r>
        <w:rPr>
          <w:rFonts w:cs="PT Astra Serif" w:ascii="PT Astra Serif" w:hAnsi="PT Astra Serif"/>
          <w:sz w:val="28"/>
          <w:szCs w:val="28"/>
        </w:rPr>
        <w:t>39235,160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тыс. рублей, в том числе по годам: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  - 7091,890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2024 год -  7457,530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2025 год -  7830,460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2026 год -  8222,060 тыс. рублей;</w:t>
      </w:r>
    </w:p>
    <w:p>
      <w:pPr>
        <w:pStyle w:val="Standard"/>
        <w:widowControl w:val="false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2027 год -  8633,220 тыс. рублей.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Объемы финансирования на выполнение мероприятий Программы ежегодно уточняются в процессе исполнения бюджета и при формировании бюджета на очередной финансовый год и плановый период</w:t>
      </w:r>
      <w:r>
        <w:rPr>
          <w:rFonts w:cs="PT Astra Serif" w:ascii="PT Astra Serif" w:hAnsi="PT Astra Serif"/>
          <w:spacing w:val="-4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cs="PT Astra Serif" w:ascii="PT Astra Serif" w:hAnsi="PT Astra Serif"/>
          <w:spacing w:val="-4"/>
          <w:sz w:val="28"/>
          <w:szCs w:val="28"/>
        </w:rPr>
        <w:t>Мероприятие 2. Совершенствование межбюджетных отношений муниципального образования «Тереньгульский район».</w:t>
      </w:r>
    </w:p>
    <w:p>
      <w:pPr>
        <w:pStyle w:val="Normal"/>
        <w:autoSpaceDE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Неравенство налоговых потенциалов поселений муниципального образования «Тереньгульский район» и их потребностей в средствах, необходимых для финансового обеспечения предоставляемых муниципальных услуг, обусловливает существенные диспропорции в бюджетной обеспеченности поселений муниципального образования «Тереньгульский район». Применяемая методика распределения дотаций на выравнивание бюджетной обеспеченности в муниципальном образовании «Тереньгульский район» позволяет сократить разрыв между наиболее и наименее обеспеченными поселениями. Предоставление бюджетам поселений муниципального образования «Тереньгульский район»  дотации на выравнивание бюджетной обеспеченности стимулирует органы местного самоуправления к более эффективному расходованию бюджетных средств и развитию налоговых потенциалов соответствующих поселений. Целью мероприятия является обеспечение эффективного распределения финансовых ресурсов между муниципальным образованием «Тереньгульский район» и бюджетами поселений муниципального образования «Тереньгульский район», выравнивание финансовых возможностей поселений. </w:t>
      </w:r>
    </w:p>
    <w:p>
      <w:pPr>
        <w:pStyle w:val="Normal"/>
        <w:autoSpaceDE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Кроме того, в целях финансирования отдельных расходных обязательств, возникающих при выполнении полномочий по решению вопросов местного значения, бюджетам поселений муниципального образования «Тереньгульский район»  из бюджета муниципального образования «Тереньгульский район»  предоставляются иные межбюджетные трансферты. </w:t>
      </w:r>
    </w:p>
    <w:p>
      <w:pPr>
        <w:pStyle w:val="Normal"/>
        <w:autoSpaceDE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Ресурсное обеспечение мероприятия.</w:t>
      </w:r>
    </w:p>
    <w:p>
      <w:pPr>
        <w:pStyle w:val="Normal"/>
        <w:autoSpaceDE w:val="false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Общий объем бюджетных ассигнований бюджета муниципального образования «Тереньгульский район» на финансовое обеспечение реализации мероприятия составляет 54020,365 тыс. рублей, в том числе по годам: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 xml:space="preserve">2023 год – </w:t>
      </w:r>
      <w:r>
        <w:rPr>
          <w:rFonts w:cs="PT Astra Serif" w:ascii="PT Astra Serif" w:hAnsi="PT Astra Serif"/>
          <w:sz w:val="28"/>
          <w:szCs w:val="28"/>
        </w:rPr>
        <w:t>12881,855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 xml:space="preserve">2024 год – </w:t>
      </w:r>
      <w:r>
        <w:rPr>
          <w:rFonts w:cs="PT Astra Serif" w:ascii="PT Astra Serif" w:hAnsi="PT Astra Serif"/>
          <w:sz w:val="28"/>
          <w:szCs w:val="28"/>
        </w:rPr>
        <w:t>13136,355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 xml:space="preserve">2025 год – </w:t>
      </w:r>
      <w:r>
        <w:rPr>
          <w:rFonts w:cs="PT Astra Serif" w:ascii="PT Astra Serif" w:hAnsi="PT Astra Serif"/>
          <w:sz w:val="28"/>
          <w:szCs w:val="28"/>
        </w:rPr>
        <w:t xml:space="preserve">13401,055 </w:t>
      </w:r>
      <w:r>
        <w:rPr>
          <w:rFonts w:cs="PT Astra Serif" w:ascii="PT Astra Serif" w:hAnsi="PT Astra Serif"/>
          <w:spacing w:val="-4"/>
          <w:sz w:val="28"/>
          <w:szCs w:val="28"/>
        </w:rPr>
        <w:t>тыс. рублей;</w:t>
      </w:r>
    </w:p>
    <w:p>
      <w:pPr>
        <w:pStyle w:val="Normal"/>
        <w:tabs>
          <w:tab w:val="clear" w:pos="708"/>
          <w:tab w:val="left" w:pos="362" w:leader="none"/>
        </w:tabs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 xml:space="preserve">2026 год – </w:t>
      </w:r>
      <w:r>
        <w:rPr>
          <w:rFonts w:cs="PT Astra Serif" w:ascii="PT Astra Serif" w:hAnsi="PT Astra Serif"/>
          <w:sz w:val="28"/>
          <w:szCs w:val="28"/>
        </w:rPr>
        <w:t xml:space="preserve">7157,400 </w:t>
      </w:r>
      <w:r>
        <w:rPr>
          <w:rFonts w:cs="PT Astra Serif" w:ascii="PT Astra Serif" w:hAnsi="PT Astra Serif"/>
          <w:spacing w:val="-4"/>
          <w:sz w:val="28"/>
          <w:szCs w:val="28"/>
        </w:rPr>
        <w:t>тыс. рублей;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PT Astra Serif" w:ascii="PT Astra Serif" w:hAnsi="PT Astra Serif"/>
          <w:spacing w:val="-4"/>
          <w:sz w:val="28"/>
          <w:szCs w:val="28"/>
        </w:rPr>
        <w:t xml:space="preserve">2027 год – </w:t>
      </w:r>
      <w:r>
        <w:rPr>
          <w:rFonts w:cs="PT Astra Serif" w:ascii="PT Astra Serif" w:hAnsi="PT Astra Serif"/>
          <w:sz w:val="28"/>
          <w:szCs w:val="28"/>
        </w:rPr>
        <w:t xml:space="preserve">7443,700 </w:t>
      </w:r>
      <w:r>
        <w:rPr>
          <w:rFonts w:cs="PT Astra Serif" w:ascii="PT Astra Serif" w:hAnsi="PT Astra Serif"/>
          <w:spacing w:val="-4"/>
          <w:sz w:val="28"/>
          <w:szCs w:val="28"/>
        </w:rPr>
        <w:t>тыс. рублей.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Объемы финансирования на выполнение мероприятий Программы ежегодно уточняются в процессе исполнения бюджета и при формировании бюджета на очередной финансовый год и плановый период</w:t>
      </w:r>
      <w:r>
        <w:rPr>
          <w:rFonts w:cs="PT Astra Serif" w:ascii="PT Astra Serif" w:hAnsi="PT Astra Serif"/>
          <w:spacing w:val="-4"/>
          <w:sz w:val="28"/>
          <w:szCs w:val="28"/>
        </w:rPr>
        <w:t>.</w:t>
      </w:r>
    </w:p>
    <w:p>
      <w:pPr>
        <w:pStyle w:val="Standard"/>
        <w:tabs>
          <w:tab w:val="clear" w:pos="708"/>
          <w:tab w:val="left" w:pos="0" w:leader="none"/>
          <w:tab w:val="left" w:pos="993" w:leader="none"/>
        </w:tabs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1.2.Цели и задачи  развития муниципального образования «Тереньгульский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</w:rPr>
        <w:t>район» в сфере реализации муниципальной программы.</w:t>
      </w:r>
    </w:p>
    <w:p>
      <w:pPr>
        <w:pStyle w:val="Normal"/>
        <w:suppressAutoHyphens w:val="false"/>
        <w:spacing w:lineRule="auto" w:line="232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Целью Программы является</w:t>
      </w:r>
      <w:r>
        <w:rPr>
          <w:rFonts w:cs="PT Astra Serif" w:ascii="PT Astra Serif" w:hAnsi="PT Astra Serif"/>
          <w:spacing w:val="-4"/>
          <w:sz w:val="28"/>
          <w:szCs w:val="28"/>
        </w:rPr>
        <w:t xml:space="preserve"> обеспечение сбалансированности, устойчивости бюджета муниципального образования «Тереньгульский район» создание условий для качественной организации бюджетного процесса в муниципальном образовании «Тереньгульский район».</w:t>
      </w:r>
    </w:p>
    <w:p>
      <w:pPr>
        <w:pStyle w:val="Normal"/>
        <w:autoSpaceDE w:val="false"/>
        <w:spacing w:lineRule="auto" w:line="232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Достижение цели Программы будет обеспечиваться решением следующих основных задач:</w:t>
      </w:r>
    </w:p>
    <w:p>
      <w:pPr>
        <w:pStyle w:val="Normal"/>
        <w:suppressAutoHyphens w:val="false"/>
        <w:spacing w:lineRule="auto" w:line="242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выполнение плановых назначений по налоговым и неналоговым доходам не менее 100 %;</w:t>
      </w:r>
    </w:p>
    <w:p>
      <w:pPr>
        <w:pStyle w:val="Normal"/>
        <w:suppressAutoHyphens w:val="false"/>
        <w:spacing w:lineRule="auto" w:line="242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назначений;</w:t>
      </w:r>
    </w:p>
    <w:p>
      <w:pPr>
        <w:pStyle w:val="Normal"/>
        <w:suppressAutoHyphens w:val="false"/>
        <w:spacing w:lineRule="auto" w:line="242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соблюдение сроков разработки проекта решения Совета депутатов муниципального образования «Тереньгульский район» о бюджете муниципального образования «Тереньгульский район» и состава документов и материалов, предоставляемых одновременно с ним, согласно требованиям, установленным бюджетным законодательством;</w:t>
      </w:r>
    </w:p>
    <w:p>
      <w:pPr>
        <w:pStyle w:val="Normal"/>
        <w:suppressAutoHyphens w:val="false"/>
        <w:spacing w:lineRule="auto" w:line="242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соблюдение требований к предельному объему дефицита бюджета, установленных бюджетным законодательством Российской Федерации при планировании и исполнении бюджета муниципального образования «Тереньгульский район».</w:t>
      </w:r>
    </w:p>
    <w:p>
      <w:pPr>
        <w:pStyle w:val="Normal"/>
        <w:suppressAutoHyphens w:val="false"/>
        <w:spacing w:lineRule="auto" w:line="232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Перечень целевых индикаторов муниципальной программы муниципального образования «Тереньгульский район» Ульяновской области «Управление муниципальными финансами в муниципальном образовании «Тереньгульский район»» на 2023-2027 годы установлен приложением № 1 к Программе.</w:t>
      </w:r>
    </w:p>
    <w:p>
      <w:pPr>
        <w:pStyle w:val="Standard"/>
        <w:ind w:left="0" w:right="0" w:firstLine="567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Standard"/>
        <w:ind w:left="0" w:right="0" w:firstLine="567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2. Организация управления муниципальной программой.</w:t>
      </w:r>
    </w:p>
    <w:p>
      <w:pPr>
        <w:pStyle w:val="Standard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autoSpaceDE w:val="false"/>
        <w:spacing w:lineRule="auto" w:line="230"/>
        <w:ind w:left="0" w:righ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Заказчиком Программы является муниципальное учреждение Финансовый отдел муниципального образования «Тереньгульский район» Ульяновской области.</w:t>
      </w:r>
    </w:p>
    <w:p>
      <w:pPr>
        <w:pStyle w:val="Normal"/>
        <w:autoSpaceDE w:val="false"/>
        <w:spacing w:lineRule="auto" w:line="230"/>
        <w:ind w:left="0" w:righ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Общее управление и контроль за реализацией программных мероприятий осуществляет муниципальным учреждением Финансовый отдел муниципального образования «Тереньгульский район» Ульяновской области.</w:t>
      </w:r>
    </w:p>
    <w:p>
      <w:pPr>
        <w:pStyle w:val="Normal"/>
        <w:autoSpaceDE w:val="false"/>
        <w:spacing w:lineRule="auto" w:line="230"/>
        <w:ind w:left="0" w:righ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Заказчик муниципальной программы несёт ответственность за своевременное выполнение мероприятий Программы и целевое, эффективное и правомерное использование бюджетных ассигнований на финансовое обеспечение реализации Программы.</w:t>
      </w:r>
    </w:p>
    <w:p>
      <w:pPr>
        <w:pStyle w:val="Normal"/>
        <w:ind w:left="0" w:right="0" w:firstLine="708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>Муниципальное учреждение Финансовый отдел муниципального образования «Тереньгульский район» Ульяновской области в соответствии с 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  <w:r>
        <w:rPr>
          <w:rFonts w:cs="PT Astra Serif" w:ascii="PT Astra Serif" w:hAnsi="PT Astra Serif"/>
          <w:sz w:val="28"/>
        </w:rPr>
        <w:t>»</w:t>
      </w:r>
      <w:r>
        <w:rPr>
          <w:rFonts w:cs="PT Astra Serif" w:ascii="PT Astra Serif" w:hAnsi="PT Astra Serif"/>
          <w:bCs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Досрочное прекращение реализации Программы в целом осуществляется по решению администрации муниципального образования «Тереньгульский район» Ульяновской области при выявлении отрицательных результатов выполнения Программы в части эффективности реализуемых мероприятий в соответствии с </w:t>
      </w:r>
      <w:r>
        <w:rPr>
          <w:rFonts w:cs="PT Astra Serif" w:ascii="PT Astra Serif" w:hAnsi="PT Astra Serif"/>
          <w:bCs/>
          <w:sz w:val="28"/>
          <w:szCs w:val="28"/>
        </w:rPr>
        <w:t>постановлением администрации муниципального образования «Тереньгульский район» Ульяновской области от 26.12.2020 №542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реализации».</w:t>
      </w:r>
      <w:r>
        <w:br w:type="page"/>
      </w:r>
    </w:p>
    <w:p>
      <w:pPr>
        <w:pStyle w:val="Bodytext3"/>
        <w:shd w:fill="auto" w:val="clear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Приложение 1 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«Управление муниципальными финансами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в муниципальном образовании </w:t>
      </w:r>
    </w:p>
    <w:p>
      <w:pPr>
        <w:pStyle w:val="Bodytext3"/>
        <w:shd w:fill="auto" w:val="clear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«Тереньгульский район»</w:t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Перечень целевых индикаторов</w:t>
      </w:r>
    </w:p>
    <w:p>
      <w:pPr>
        <w:pStyle w:val="Standard"/>
        <w:jc w:val="center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</w:rPr>
        <w:t xml:space="preserve">муниципальной программы «Управление муниципальными финансами в муниципальном образовании </w:t>
      </w:r>
    </w:p>
    <w:p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90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80"/>
        <w:gridCol w:w="1134"/>
        <w:gridCol w:w="1134"/>
        <w:gridCol w:w="850"/>
        <w:gridCol w:w="851"/>
        <w:gridCol w:w="850"/>
        <w:gridCol w:w="850"/>
        <w:gridCol w:w="861"/>
      </w:tblGrid>
      <w:tr>
        <w:trPr>
          <w:trHeight w:val="57" w:hRule="atLeast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№</w:t>
            </w:r>
            <w:r>
              <w:rPr>
                <w:rFonts w:eastAsia="PT Astra Serif" w:cs="PT Astra Serif" w:ascii="PT Astra Serif" w:hAnsi="PT Astra Serif"/>
              </w:rPr>
              <w:t xml:space="preserve"> </w:t>
            </w:r>
            <w:r>
              <w:rPr>
                <w:rFonts w:cs="PT Astra Serif" w:ascii="PT Astra Serif" w:hAnsi="PT Astra Serif"/>
              </w:rPr>
              <w:t>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Наименование </w:t>
            </w:r>
          </w:p>
          <w:p>
            <w:pPr>
              <w:pStyle w:val="Normal"/>
              <w:suppressAutoHyphens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Базовое значение целевого индикатора 01.01.2022</w:t>
            </w:r>
          </w:p>
        </w:tc>
        <w:tc>
          <w:tcPr>
            <w:tcW w:w="4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Значение целевого индикатора </w:t>
            </w:r>
          </w:p>
        </w:tc>
      </w:tr>
      <w:tr>
        <w:trPr>
          <w:trHeight w:val="57" w:hRule="atLeast"/>
        </w:trPr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2026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00"/>
              <w:jc w:val="center"/>
              <w:rPr>
                <w:rFonts w:ascii="PT Astra Serif" w:hAnsi="PT Astra Serif" w:cs="PT Astra Serif"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hi-IN" w:bidi="hi-IN"/>
              </w:rPr>
              <w:t>2027 год</w:t>
            </w:r>
          </w:p>
        </w:tc>
      </w:tr>
    </w:tbl>
    <w:p>
      <w:pPr>
        <w:pStyle w:val="Normal"/>
        <w:spacing w:lineRule="auto" w:line="12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90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80"/>
        <w:gridCol w:w="1134"/>
        <w:gridCol w:w="1134"/>
        <w:gridCol w:w="850"/>
        <w:gridCol w:w="851"/>
        <w:gridCol w:w="850"/>
        <w:gridCol w:w="850"/>
        <w:gridCol w:w="861"/>
      </w:tblGrid>
      <w:tr>
        <w:trPr>
          <w:tblHeader w:val="true"/>
          <w:trHeight w:val="5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>
          <w:trHeight w:val="5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Выполнение плановых назначений по налоговым и неналоговым доходам не менее 100 %.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</w:tr>
      <w:tr>
        <w:trPr>
          <w:trHeight w:val="2182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3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</w:tr>
      <w:tr>
        <w:trPr>
          <w:trHeight w:val="5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 xml:space="preserve">Соблюдение сроков разработки проекта решения Совета депутатов муниципального образования «Тереньгульский район» о бюджете муниципального образования «Тереньгульский район» и состава документов и материалов, предоставляемых одновременно с ним, согласно требованиям, установленным бюджетным законодательством. </w:t>
            </w:r>
          </w:p>
          <w:p>
            <w:pPr>
              <w:pStyle w:val="Normal"/>
              <w:suppressAutoHyphens w:val="false"/>
              <w:snapToGrid w:val="false"/>
              <w:spacing w:lineRule="auto" w:line="230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</w:tr>
      <w:tr>
        <w:trPr>
          <w:trHeight w:val="5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Соблюдение сроков предоставления бюджетной отчётности в Министерство финансов Ульяновской области.</w:t>
            </w:r>
          </w:p>
          <w:p>
            <w:pPr>
              <w:pStyle w:val="Normal"/>
              <w:autoSpaceDE w:val="false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</w:t>
            </w:r>
          </w:p>
        </w:tc>
      </w:tr>
      <w:tr>
        <w:trPr>
          <w:trHeight w:val="57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Соблюдение требований к предельному объему дефицита бюджета, установленных бюджетным законодательством Российской Федерации при планировании и исполнении бюджета муниципального образования «Тереньгульский район».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</w:tr>
    </w:tbl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851" w:gutter="0" w:header="0" w:top="1134" w:footer="1134" w:bottom="1389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 w:val="false"/>
          <w:b w:val="false"/>
        </w:rPr>
      </w:pP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«Управление муниципальными финансами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в муниципальном образовании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«Тереньгульский район»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«</w:t>
      </w:r>
      <w:r>
        <w:rPr>
          <w:rFonts w:cs="PT Astra Serif" w:ascii="PT Astra Serif" w:hAnsi="PT Astra Serif"/>
          <w:b/>
          <w:sz w:val="28"/>
          <w:szCs w:val="28"/>
        </w:rPr>
        <w:t xml:space="preserve">Управление муниципальными финансами в муниципальном образовании </w:t>
      </w:r>
    </w:p>
    <w:p>
      <w:pPr>
        <w:pStyle w:val="Standard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».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170" w:type="dxa"/>
        <w:jc w:val="left"/>
        <w:tblInd w:w="-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418"/>
        <w:gridCol w:w="1559"/>
        <w:gridCol w:w="850"/>
        <w:gridCol w:w="851"/>
        <w:gridCol w:w="567"/>
        <w:gridCol w:w="709"/>
        <w:gridCol w:w="3543"/>
        <w:gridCol w:w="709"/>
        <w:gridCol w:w="850"/>
        <w:gridCol w:w="709"/>
        <w:gridCol w:w="709"/>
        <w:gridCol w:w="709"/>
        <w:gridCol w:w="708"/>
        <w:gridCol w:w="711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3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30"/>
              <w:jc w:val="both"/>
              <w:rPr/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Обеспечение выполнение функций Финансового отдела муниципального образования «Тереньгульский район»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Выполнение плановых назначений по налоговым и неналоговым доходам не менее 100 %.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Соблюдение сроков разработки проекта решения Совета депутатов муниципального образования «Тереньгульский район» о бюджете муниципального образования «Тереньгульский район» и состава документов и материалов, предоставляемых одновременно с ним, согласно требованиям, установленным бюджетным законодательством.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Соблюдение сроков предоставления бюджетной отчётности в Министерство финансов Ульяновской области.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Соблюдение требований к предельному объему дефицита бюджета, установленных бюджетным законодательством Российской Федерации при планировании и исполнении бюджета муниципального образования «Тереньгульский район».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Функционирование на официальном интернет-сайте Администрации муниципального образования «Тереньгульский район» раздела «Бюджет для граждан» (Открытый бюджет).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Размещение на официальном интернет-сайте Администрации муниципального образования «Тереньгульский район» муниципальных правовых актов по вопросам организации бюджетного процесса, аналитических материалов о бюджете муниципального образования «Тереньгульский район» и его исполнении.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39235,160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7091,890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7457,530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7830,460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8222,060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8633,220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hd w:fill="FF0000" w:val="clear"/>
              </w:rPr>
            </w:pPr>
            <w:r>
              <w:rPr>
                <w:rFonts w:cs="PT Astra Serif" w:ascii="PT Astra Serif" w:hAnsi="PT Astra Serif"/>
                <w:shd w:fill="FF0000" w:val="clear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39235,160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7091,890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7457,530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7830,460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8222,060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8633,220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autoSpaceDE w:val="false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54020,365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12881,855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13136,355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13401,055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7157,400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7443,700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34463,500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6362,900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6617,400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6882,100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7157,400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7443,700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19556,865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6518,955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6518,955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6518,955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93255,525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19973,745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20593,885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21231,515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15379,460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16076,920</w:t>
            </w:r>
          </w:p>
        </w:tc>
      </w:tr>
      <w:tr>
        <w:trPr/>
        <w:tc>
          <w:tcPr>
            <w:tcW w:w="10065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73698,660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13454,790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14074,930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14712,560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15379,460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16076,920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19556,865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6518,955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6518,955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6518,955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0,00</w:t>
            </w:r>
          </w:p>
        </w:tc>
      </w:tr>
    </w:tbl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  <w:r>
        <w:br w:type="page"/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№3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«Управление муниципальными финансами</w:t>
      </w:r>
    </w:p>
    <w:p>
      <w:pPr>
        <w:pStyle w:val="Bodytext3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в муниципальном образовании </w:t>
      </w:r>
    </w:p>
    <w:p>
      <w:pPr>
        <w:pStyle w:val="Bodytext3"/>
        <w:shd w:fill="auto" w:val="clear"/>
        <w:spacing w:lineRule="auto" w:line="240" w:before="0" w:after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«Тереньгульский район»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Перечень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муниципальной программы муниципального образования</w:t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«Тереньгульский район» Ульяновской области</w:t>
      </w:r>
    </w:p>
    <w:p>
      <w:pPr>
        <w:pStyle w:val="Standard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«</w:t>
      </w:r>
      <w:r>
        <w:rPr>
          <w:rFonts w:cs="PT Astra Serif" w:ascii="PT Astra Serif" w:hAnsi="PT Astra Serif"/>
          <w:b/>
          <w:sz w:val="28"/>
          <w:szCs w:val="28"/>
        </w:rPr>
        <w:t xml:space="preserve">Управление муниципальными финансами в муниципальном образовании </w:t>
      </w:r>
    </w:p>
    <w:p>
      <w:pPr>
        <w:pStyle w:val="Standard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</w:t>
      </w:r>
      <w:r>
        <w:rPr>
          <w:rFonts w:cs="PT Astra Serif" w:ascii="PT Astra Serif" w:hAnsi="PT Astra Serif"/>
          <w:b/>
          <w:bCs/>
          <w:sz w:val="28"/>
          <w:szCs w:val="28"/>
        </w:rPr>
        <w:t>»</w:t>
      </w:r>
    </w:p>
    <w:p>
      <w:pPr>
        <w:pStyle w:val="Normal"/>
        <w:spacing w:lineRule="auto" w:line="12"/>
        <w:rPr>
          <w:rFonts w:ascii="PT Astra Serif" w:hAnsi="PT Astra Serif" w:cs="PT Astra Serif"/>
          <w:b/>
          <w:b/>
          <w:sz w:val="2"/>
          <w:szCs w:val="2"/>
        </w:rPr>
      </w:pPr>
      <w:r>
        <w:rPr>
          <w:rFonts w:cs="PT Astra Serif" w:ascii="PT Astra Serif" w:hAnsi="PT Astra Serif"/>
          <w:b/>
          <w:sz w:val="2"/>
          <w:szCs w:val="2"/>
        </w:rPr>
      </w:r>
    </w:p>
    <w:tbl>
      <w:tblPr>
        <w:tblW w:w="5000" w:type="pct"/>
        <w:jc w:val="left"/>
        <w:tblInd w:w="-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5775"/>
        <w:gridCol w:w="1124"/>
        <w:gridCol w:w="1548"/>
        <w:gridCol w:w="1407"/>
        <w:gridCol w:w="1404"/>
        <w:gridCol w:w="1407"/>
        <w:gridCol w:w="1355"/>
      </w:tblGrid>
      <w:tr>
        <w:trPr/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71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3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Выполнение плановых назначений по налоговым и неналоговым доходам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не менее 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не менее 100 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не менее 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не менее 100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не менее 100 </w:t>
            </w:r>
          </w:p>
        </w:tc>
      </w:tr>
      <w:tr>
        <w:trPr/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3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3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autoSpaceDE w:val="false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Соблюдение требований к предельному объему дефицита бюджета, установленных бюджетным законодательством Российской Федерации при планировании и исполнении бюджета муниципального образования «Тереньгульский район»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Не более 10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Не более 10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Не более 10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Не более 10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Не более 10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</w:tbl>
    <w:p>
      <w:pPr>
        <w:pStyle w:val="Bodytext3"/>
        <w:shd w:fill="auto" w:val="clear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  <w:r>
        <mc:AlternateContent>
          <mc:Choice Requires="wps">
            <w:drawing>
              <wp:anchor behindDoc="0" distT="0" distB="0" distL="0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9106535" cy="510413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6535" cy="51041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17.05pt;height:401.9pt;mso-wrap-distance-left:0pt;mso-wrap-distance-right:9.05pt;mso-wrap-distance-top:0pt;mso-wrap-distance-bottom:0pt;margin-top:16.35pt;mso-position-vertical-relative:text;margin-left:0pt;mso-position-horizontal-relative:text">
                <v:textbox inset="0.00208333333333333in,0.00208333333333333in,0.00208333333333333in,0.00208333333333333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even" r:id="rId5"/>
      <w:headerReference w:type="default" r:id="rId6"/>
      <w:footerReference w:type="even" r:id="rId7"/>
      <w:footerReference w:type="default" r:id="rId8"/>
      <w:type w:val="nextPage"/>
      <w:pgSz w:orient="landscape" w:w="16838" w:h="11906"/>
      <w:pgMar w:left="1134" w:right="1134" w:gutter="0" w:header="72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PT Astra Serif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Arial Narrow">
    <w:charset w:val="cc"/>
    <w:family w:val="swiss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>
        <w:sz w:val="36"/>
        <w:szCs w:val="31"/>
        <w:lang w:val="ru-RU"/>
      </w:rPr>
    </w:pPr>
    <w:r>
      <w:rPr>
        <w:sz w:val="36"/>
        <w:szCs w:val="31"/>
        <w:lang w:val="ru-RU"/>
      </w:rPr>
      <w:t>0</w:t>
    </w:r>
    <w:r>
      <w:rPr>
        <w:sz w:val="36"/>
        <w:szCs w:val="31"/>
        <w:lang w:val="ru-RU"/>
      </w:rPr>
      <w:t>595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PT Astra Serif" w:hAnsi="PT Astra Serif" w:cs="PT Astra Serif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cs="PT Astra Serif"/>
      <w:sz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2">
    <w:name w:val="Основной шрифт абзаца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6z0">
    <w:name w:val="WW8Num6z0"/>
    <w:qFormat/>
    <w:rPr>
      <w:b/>
      <w:sz w:val="24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>
      <w:b/>
      <w:vanish/>
      <w:sz w:val="24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4"/>
      <w:lang w:val="ru-RU"/>
    </w:rPr>
  </w:style>
  <w:style w:type="character" w:styleId="WW8Num12z0">
    <w:name w:val="WW8Num12z0"/>
    <w:qFormat/>
    <w:rPr>
      <w:b/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>
      <w:b/>
      <w:sz w:val="24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4"/>
    </w:rPr>
  </w:style>
  <w:style w:type="character" w:styleId="WW8Num16z0">
    <w:name w:val="WW8Num16z0"/>
    <w:qFormat/>
    <w:rPr>
      <w:b/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8z0">
    <w:name w:val="WW8Num18z0"/>
    <w:qFormat/>
    <w:rPr>
      <w:rFonts w:ascii="Times New Roman" w:hAnsi="Times New Roman" w:cs="Times New Roman"/>
      <w:sz w:val="24"/>
    </w:rPr>
  </w:style>
  <w:style w:type="character" w:styleId="WW8Num19z0">
    <w:name w:val="WW8Num19z0"/>
    <w:qFormat/>
    <w:rPr>
      <w:rFonts w:ascii="Times New Roman" w:hAnsi="Times New Roman" w:cs="Times New Roman"/>
      <w:sz w:val="24"/>
    </w:rPr>
  </w:style>
  <w:style w:type="character" w:styleId="WW8Num20z0">
    <w:name w:val="WW8Num20z0"/>
    <w:qFormat/>
    <w:rPr>
      <w:b/>
      <w:sz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>
      <w:b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1z0">
    <w:name w:val="WW8Num21z0"/>
    <w:qFormat/>
    <w:rPr>
      <w:sz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styleId="WW8Num23z0">
    <w:name w:val="WW8Num23z0"/>
    <w:qFormat/>
    <w:rPr>
      <w:sz w:val="24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sz w:val="24"/>
    </w:rPr>
  </w:style>
  <w:style w:type="character" w:styleId="WW8Num27z0">
    <w:name w:val="WW8Num27z0"/>
    <w:qFormat/>
    <w:rPr>
      <w:rFonts w:ascii="Times New Roman" w:hAnsi="Times New Roman" w:cs="Times New Roman"/>
      <w:i/>
      <w:sz w:val="24"/>
    </w:rPr>
  </w:style>
  <w:style w:type="character" w:styleId="WW8Num28z0">
    <w:name w:val="WW8Num28z0"/>
    <w:qFormat/>
    <w:rPr>
      <w:sz w:val="24"/>
    </w:rPr>
  </w:style>
  <w:style w:type="character" w:styleId="WW8Num29z0">
    <w:name w:val="WW8Num29z0"/>
    <w:qFormat/>
    <w:rPr>
      <w:rFonts w:eastAsia="Times New Roman"/>
      <w:sz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cs="Times New Roman"/>
      <w:b/>
      <w:bCs w:val="false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  <w:sz w:val="24"/>
    </w:rPr>
  </w:style>
  <w:style w:type="character" w:styleId="WW8Num35z0">
    <w:name w:val="WW8Num35z0"/>
    <w:qFormat/>
    <w:rPr>
      <w:rFonts w:cs="Times New Roman"/>
      <w:b w:val="false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  <w:b/>
      <w:bCs/>
      <w:sz w:val="24"/>
      <w:szCs w:val="24"/>
    </w:rPr>
  </w:style>
  <w:style w:type="character" w:styleId="WW8Num37z0">
    <w:name w:val="WW8Num37z0"/>
    <w:qFormat/>
    <w:rPr>
      <w:rFonts w:cs="Times New Roman"/>
      <w:b/>
      <w:bCs/>
      <w:sz w:val="24"/>
      <w:szCs w:val="24"/>
    </w:rPr>
  </w:style>
  <w:style w:type="character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styleId="WW8Num37z2">
    <w:name w:val="WW8Num37z2"/>
    <w:qFormat/>
    <w:rPr>
      <w:rFonts w:cs="Times New Roman"/>
    </w:rPr>
  </w:style>
  <w:style w:type="character" w:styleId="WW8Num38z0">
    <w:name w:val="WW8Num38z0"/>
    <w:qFormat/>
    <w:rPr>
      <w:rFonts w:ascii="Symbol" w:hAnsi="Symbol" w:cs="Symbol"/>
      <w:b/>
      <w:sz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  <w:b/>
      <w:bCs/>
      <w:sz w:val="24"/>
      <w:szCs w:val="24"/>
    </w:rPr>
  </w:style>
  <w:style w:type="character" w:styleId="WW8Num41z0">
    <w:name w:val="WW8Num41z0"/>
    <w:qFormat/>
    <w:rPr>
      <w:rFonts w:ascii="Symbol" w:hAnsi="Symbol" w:cs="Symbol"/>
      <w:b/>
      <w:sz w:val="24"/>
    </w:rPr>
  </w:style>
  <w:style w:type="character" w:styleId="21">
    <w:name w:val="Основной шрифт абзаца2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spacing w:val="-2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  <w:sz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1">
    <w:name w:val="WW8Num13z1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sz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Internetlink">
    <w:name w:val="Hyperlink"/>
    <w:qFormat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</w:rPr>
  </w:style>
  <w:style w:type="character" w:styleId="Style16">
    <w:name w:val="Гипертекстовая ссылка"/>
    <w:qFormat/>
    <w:rPr>
      <w:b/>
      <w:color w:val="008000"/>
    </w:rPr>
  </w:style>
  <w:style w:type="character" w:styleId="FontStyle15">
    <w:name w:val="Font Style15"/>
    <w:qFormat/>
    <w:rPr>
      <w:rFonts w:ascii="Times New Roman" w:hAnsi="Times New Roman" w:cs="Times New Roman"/>
      <w:sz w:val="24"/>
    </w:rPr>
  </w:style>
  <w:style w:type="character" w:styleId="13">
    <w:name w:val="Знак примечания1"/>
    <w:qFormat/>
    <w:rPr>
      <w:sz w:val="16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sz w:val="20"/>
    </w:rPr>
  </w:style>
  <w:style w:type="character" w:styleId="Style18">
    <w:name w:val="Тема примечания Знак"/>
    <w:qFormat/>
    <w:rPr>
      <w:rFonts w:ascii="Times New Roman" w:hAnsi="Times New Roman" w:eastAsia="Times New Roman" w:cs="Times New Roman"/>
      <w:b/>
      <w:sz w:val="20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FootnoteSymbol">
    <w:name w:val="Footnote Symbol"/>
    <w:qFormat/>
    <w:rPr>
      <w:vertAlign w:val="superscript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Символ сноски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Style22">
    <w:name w:val="Символы концевой сноски"/>
    <w:qFormat/>
    <w:rPr>
      <w:vertAlign w:val="superscript"/>
    </w:rPr>
  </w:style>
  <w:style w:type="character" w:styleId="BulletSymbols">
    <w:name w:val="Bullet Symbols"/>
    <w:qFormat/>
    <w:rPr>
      <w:rFonts w:ascii="OpenSymbol;Arial Unicode MS" w:hAnsi="OpenSymbol;Arial Unicode MS" w:eastAsia="Times New Roman" w:cs="OpenSymbol;Arial Unicode MS"/>
    </w:rPr>
  </w:style>
  <w:style w:type="character" w:styleId="FontStyle82">
    <w:name w:val="Font Style82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81">
    <w:name w:val="Font Style8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TFNum301">
    <w:name w:val="RTF_Num 30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FontStyle79">
    <w:name w:val="Font Style79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BodyTextChar">
    <w:name w:val="Body Text Char"/>
    <w:qFormat/>
    <w:rPr>
      <w:sz w:val="24"/>
      <w:szCs w:val="20"/>
    </w:rPr>
  </w:style>
  <w:style w:type="character" w:styleId="HeaderChar">
    <w:name w:val="Header Char"/>
    <w:qFormat/>
    <w:rPr>
      <w:sz w:val="24"/>
      <w:szCs w:val="20"/>
    </w:rPr>
  </w:style>
  <w:style w:type="character" w:styleId="FooterChar">
    <w:name w:val="Footer Char"/>
    <w:qFormat/>
    <w:rPr>
      <w:sz w:val="24"/>
      <w:szCs w:val="20"/>
    </w:rPr>
  </w:style>
  <w:style w:type="character" w:styleId="BalloonTextChar">
    <w:name w:val="Balloon Text Char"/>
    <w:qFormat/>
    <w:rPr/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FootnoteTextChar">
    <w:name w:val="Footnote Text Char"/>
    <w:qFormat/>
    <w:rPr>
      <w:sz w:val="20"/>
      <w:szCs w:val="20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>
    <w:name w:val="Subtitle Char"/>
    <w:qFormat/>
    <w:rPr>
      <w:rFonts w:ascii="Cambria" w:hAnsi="Cambria" w:cs="Cambria"/>
      <w:sz w:val="24"/>
      <w:szCs w:val="24"/>
    </w:rPr>
  </w:style>
  <w:style w:type="character" w:styleId="Footnoteanchor">
    <w:name w:val="Foot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FontStyle39">
    <w:name w:val="Font Style39"/>
    <w:qFormat/>
    <w:rPr>
      <w:rFonts w:ascii="Calibri" w:hAnsi="Calibri" w:cs="Calibri"/>
      <w:sz w:val="20"/>
      <w:szCs w:val="20"/>
    </w:rPr>
  </w:style>
  <w:style w:type="character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styleId="Style23">
    <w:name w:val="Ñèìâîë ñíîñêè"/>
    <w:qFormat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bidi="zxx"/>
    </w:rPr>
  </w:style>
  <w:style w:type="character" w:styleId="14">
    <w:name w:val="Знак сноски1"/>
    <w:qFormat/>
    <w:rPr>
      <w:vertAlign w:val="superscript"/>
    </w:rPr>
  </w:style>
  <w:style w:type="character" w:styleId="Style25">
    <w:name w:val="Символ нумерации"/>
    <w:qFormat/>
    <w:rPr/>
  </w:style>
  <w:style w:type="character" w:styleId="15">
    <w:name w:val="Нижний колонтитул Знак1"/>
    <w:qFormat/>
    <w:rPr>
      <w:kern w:val="2"/>
      <w:sz w:val="24"/>
      <w:lang w:eastAsia="zh-C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Style27">
    <w:name w:val="Body Text"/>
    <w:basedOn w:val="Normal"/>
    <w:pPr>
      <w:spacing w:before="0" w:after="120"/>
    </w:pPr>
    <w:rPr/>
  </w:style>
  <w:style w:type="paragraph" w:styleId="Style28">
    <w:name w:val="List"/>
    <w:basedOn w:val="Textbody"/>
    <w:pPr/>
    <w:rPr>
      <w:rFonts w:cs="Mangal;Courier New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Droid Sans Devanagari;Arial"/>
      <w:i/>
      <w:iCs/>
      <w:sz w:val="28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ascii="PT Astra Serif" w:hAnsi="PT Astra Serif" w:cs="Droid Sans Devanagari;Arial"/>
    </w:rPr>
  </w:style>
  <w:style w:type="paragraph" w:styleId="31">
    <w:name w:val="Название объекта3"/>
    <w:basedOn w:val="Standard"/>
    <w:next w:val="Style44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32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;Courier New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24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Courier New"/>
    </w:rPr>
  </w:style>
  <w:style w:type="paragraph" w:styleId="16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styleId="17">
    <w:name w:val="Указатель1"/>
    <w:basedOn w:val="Standard"/>
    <w:qFormat/>
    <w:pPr>
      <w:suppressLineNumbers/>
    </w:pPr>
    <w:rPr>
      <w:rFonts w:cs="Mangal;Courier New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andard"/>
    <w:pPr>
      <w:suppressLineNumbers/>
    </w:pPr>
    <w:rPr/>
  </w:style>
  <w:style w:type="paragraph" w:styleId="Style34">
    <w:name w:val="Footer"/>
    <w:basedOn w:val="Standard"/>
    <w:pPr>
      <w:suppressLineNumbers/>
    </w:pPr>
    <w:rPr>
      <w:lang w:val="ru-RU"/>
    </w:rPr>
  </w:style>
  <w:style w:type="paragraph" w:styleId="ContentsHeading">
    <w:name w:val="Contents Heading"/>
    <w:basedOn w:val="1"/>
    <w:qFormat/>
    <w:pPr>
      <w:numPr>
        <w:ilvl w:val="0"/>
        <w:numId w:val="0"/>
      </w:numPr>
      <w:suppressLineNumbers/>
      <w:overflowPunct w:val="false"/>
      <w:spacing w:lineRule="auto" w:line="276" w:before="480" w:after="0"/>
      <w:ind w:left="0" w:right="0" w:hanging="0"/>
      <w:jc w:val="left"/>
      <w:outlineLvl w:val="9"/>
    </w:pPr>
    <w:rPr>
      <w:b/>
      <w:bCs/>
      <w:color w:val="365F91"/>
      <w:sz w:val="28"/>
      <w:szCs w:val="28"/>
    </w:rPr>
  </w:style>
  <w:style w:type="paragraph" w:styleId="Contents1">
    <w:name w:val="Contents 1"/>
    <w:basedOn w:val="Standard"/>
    <w:qFormat/>
    <w:pPr>
      <w:spacing w:before="0" w:after="100"/>
      <w:ind w:left="0" w:right="0" w:hanging="0"/>
    </w:pPr>
    <w:rPr/>
  </w:style>
  <w:style w:type="paragraph" w:styleId="Style35">
    <w:name w:val="Текст выноски"/>
    <w:basedOn w:val="Standard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Standard"/>
    <w:qFormat/>
    <w:pPr>
      <w:spacing w:before="0" w:after="0"/>
      <w:ind w:left="720" w:right="0" w:hanging="0"/>
    </w:pPr>
    <w:rPr>
      <w:rFonts w:ascii="Calibri" w:hAnsi="Calibri" w:cs="Calibri"/>
      <w:b/>
      <w:bCs/>
    </w:rPr>
  </w:style>
  <w:style w:type="paragraph" w:styleId="Style3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8">
    <w:name w:val="Текст примечания1"/>
    <w:basedOn w:val="Standard"/>
    <w:qFormat/>
    <w:pPr/>
    <w:rPr>
      <w:sz w:val="20"/>
    </w:rPr>
  </w:style>
  <w:style w:type="paragraph" w:styleId="25">
    <w:name w:val="Текст примечания2"/>
    <w:basedOn w:val="Standard"/>
    <w:qFormat/>
    <w:pPr/>
    <w:rPr>
      <w:sz w:val="20"/>
    </w:rPr>
  </w:style>
  <w:style w:type="paragraph" w:styleId="Style38">
    <w:name w:val="Тема примечания"/>
    <w:basedOn w:val="18"/>
    <w:qFormat/>
    <w:pPr/>
    <w:rPr>
      <w:b/>
      <w:bCs/>
    </w:rPr>
  </w:style>
  <w:style w:type="paragraph" w:styleId="Style39">
    <w:name w:val="Рецензия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40">
    <w:name w:val="Footnote Text"/>
    <w:basedOn w:val="Standard"/>
    <w:pPr/>
    <w:rPr>
      <w:sz w:val="20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1">
    <w:name w:val="Знак"/>
    <w:basedOn w:val="Standard"/>
    <w:qFormat/>
    <w:pPr>
      <w:widowControl w:val="false"/>
      <w:overflowPunct w:val="false"/>
      <w:spacing w:lineRule="exact" w:line="240" w:before="0" w:after="160"/>
      <w:jc w:val="right"/>
    </w:pPr>
    <w:rPr>
      <w:sz w:val="20"/>
      <w:lang w:val="en-GB"/>
    </w:rPr>
  </w:style>
  <w:style w:type="paragraph" w:styleId="19">
    <w:name w:val="Название объекта1"/>
    <w:basedOn w:val="Standard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110">
    <w:name w:val="Абзац списка1"/>
    <w:basedOn w:val="Standard"/>
    <w:qFormat/>
    <w:pPr>
      <w:overflowPunct w:val="false"/>
      <w:spacing w:before="0" w:after="0"/>
      <w:ind w:left="720" w:right="0" w:hanging="0"/>
    </w:pPr>
    <w:rPr>
      <w:szCs w:val="24"/>
    </w:rPr>
  </w:style>
  <w:style w:type="paragraph" w:styleId="Style42">
    <w:name w:val="Обычный (веб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styleId="Contents2">
    <w:name w:val="Contents 2"/>
    <w:basedOn w:val="17"/>
    <w:qFormat/>
    <w:pPr>
      <w:spacing w:before="0" w:after="0"/>
      <w:ind w:left="283" w:right="0" w:hanging="0"/>
    </w:pPr>
    <w:rPr/>
  </w:style>
  <w:style w:type="paragraph" w:styleId="Contents3">
    <w:name w:val="Contents 3"/>
    <w:basedOn w:val="17"/>
    <w:qFormat/>
    <w:pPr>
      <w:spacing w:before="0" w:after="0"/>
      <w:ind w:left="566" w:right="0" w:hanging="0"/>
    </w:pPr>
    <w:rPr/>
  </w:style>
  <w:style w:type="paragraph" w:styleId="Contents4">
    <w:name w:val="Contents 4"/>
    <w:basedOn w:val="17"/>
    <w:qFormat/>
    <w:pPr>
      <w:spacing w:before="0" w:after="0"/>
      <w:ind w:left="849" w:right="0" w:hanging="0"/>
    </w:pPr>
    <w:rPr/>
  </w:style>
  <w:style w:type="paragraph" w:styleId="Contents5">
    <w:name w:val="Contents 5"/>
    <w:basedOn w:val="17"/>
    <w:qFormat/>
    <w:pPr>
      <w:spacing w:before="0" w:after="0"/>
      <w:ind w:left="1132" w:right="0" w:hanging="0"/>
    </w:pPr>
    <w:rPr/>
  </w:style>
  <w:style w:type="paragraph" w:styleId="Contents6">
    <w:name w:val="Contents 6"/>
    <w:basedOn w:val="17"/>
    <w:qFormat/>
    <w:pPr>
      <w:spacing w:before="0" w:after="0"/>
      <w:ind w:left="1415" w:right="0" w:hanging="0"/>
    </w:pPr>
    <w:rPr/>
  </w:style>
  <w:style w:type="paragraph" w:styleId="Contents7">
    <w:name w:val="Contents 7"/>
    <w:basedOn w:val="17"/>
    <w:qFormat/>
    <w:pPr>
      <w:spacing w:before="0" w:after="0"/>
      <w:ind w:left="1698" w:right="0" w:hanging="0"/>
    </w:pPr>
    <w:rPr/>
  </w:style>
  <w:style w:type="paragraph" w:styleId="Contents8">
    <w:name w:val="Contents 8"/>
    <w:basedOn w:val="17"/>
    <w:qFormat/>
    <w:pPr>
      <w:spacing w:before="0" w:after="0"/>
      <w:ind w:left="1981" w:right="0" w:hanging="0"/>
    </w:pPr>
    <w:rPr/>
  </w:style>
  <w:style w:type="paragraph" w:styleId="Contents9">
    <w:name w:val="Contents 9"/>
    <w:basedOn w:val="17"/>
    <w:qFormat/>
    <w:pPr>
      <w:spacing w:before="0" w:after="0"/>
      <w:ind w:left="2264" w:right="0" w:hanging="0"/>
    </w:pPr>
    <w:rPr/>
  </w:style>
  <w:style w:type="paragraph" w:styleId="Contents10">
    <w:name w:val="Contents 10"/>
    <w:basedOn w:val="17"/>
    <w:qFormat/>
    <w:pPr>
      <w:spacing w:before="0" w:after="0"/>
      <w:ind w:left="2547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oGramma">
    <w:name w:val="Pro-Gramma"/>
    <w:basedOn w:val="Standard"/>
    <w:qFormat/>
    <w:pPr>
      <w:spacing w:lineRule="auto" w:line="288" w:before="120" w:after="0"/>
      <w:ind w:left="1134" w:right="0" w:hanging="0"/>
      <w:jc w:val="both"/>
    </w:pPr>
    <w:rPr>
      <w:rFonts w:ascii="Georgia" w:hAnsi="Georgia" w:cs="Georgia"/>
      <w:sz w:val="20"/>
      <w:szCs w:val="24"/>
    </w:rPr>
  </w:style>
  <w:style w:type="paragraph" w:styleId="Style43">
    <w:name w:val="Стиль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44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ootnote">
    <w:name w:val="Footnote"/>
    <w:basedOn w:val="Standard"/>
    <w:qFormat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91">
    <w:name w:val="Style9"/>
    <w:basedOn w:val="Standard"/>
    <w:qFormat/>
    <w:pPr>
      <w:spacing w:lineRule="exact" w:line="228"/>
    </w:pPr>
    <w:rPr/>
  </w:style>
  <w:style w:type="paragraph" w:styleId="111">
    <w:name w:val="Красная строка1"/>
    <w:basedOn w:val="Textbody"/>
    <w:qFormat/>
    <w:pPr>
      <w:spacing w:before="0" w:after="0"/>
      <w:ind w:left="0" w:right="0" w:firstLine="210"/>
    </w:pPr>
    <w:rPr/>
  </w:style>
  <w:style w:type="paragraph" w:styleId="Headinguser">
    <w:name w:val="Heading (user)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Arial" w:cs="Arial"/>
      <w:b/>
      <w:bCs/>
      <w:color w:val="auto"/>
      <w:kern w:val="2"/>
      <w:sz w:val="22"/>
      <w:szCs w:val="22"/>
      <w:lang w:val="ru-RU" w:eastAsia="zh-CN" w:bidi="ar-SA"/>
    </w:rPr>
  </w:style>
  <w:style w:type="paragraph" w:styleId="Preformat">
    <w:name w:val="Preformat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211">
    <w:name w:val="Список 21"/>
    <w:basedOn w:val="Standard"/>
    <w:qFormat/>
    <w:pPr>
      <w:spacing w:before="0" w:after="0"/>
      <w:ind w:left="566" w:right="0" w:hanging="283"/>
    </w:pPr>
    <w:rPr/>
  </w:style>
  <w:style w:type="paragraph" w:styleId="Style231">
    <w:name w:val="Style23"/>
    <w:basedOn w:val="Standard"/>
    <w:qFormat/>
    <w:pPr>
      <w:spacing w:lineRule="exact" w:line="269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Calibri" w:hAnsi="Calibri" w:eastAsia="Arial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HorizontalLine">
    <w:name w:val="Horizontal Lin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tyle45">
    <w:name w:val="Àáçàö ñïèñêà"/>
    <w:basedOn w:val="Standard"/>
    <w:qFormat/>
    <w:pPr>
      <w:spacing w:before="0" w:after="0"/>
      <w:ind w:left="720" w:right="0" w:hanging="0"/>
    </w:pPr>
    <w:rPr/>
  </w:style>
  <w:style w:type="paragraph" w:styleId="Style46">
    <w:name w:val="Содержимое таблицы"/>
    <w:basedOn w:val="Normal"/>
    <w:qFormat/>
    <w:pPr>
      <w:widowControl/>
      <w:suppressLineNumbers/>
      <w:suppressAutoHyphens w:val="false"/>
      <w:textAlignment w:val="auto"/>
    </w:pPr>
    <w:rPr>
      <w:kern w:val="2"/>
      <w:sz w:val="24"/>
      <w:szCs w:val="20"/>
    </w:rPr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48">
    <w:name w:val="Содержимое врезки"/>
    <w:basedOn w:val="Normal"/>
    <w:qFormat/>
    <w:pPr/>
    <w:rPr/>
  </w:style>
  <w:style w:type="paragraph" w:styleId="Bodytext">
    <w:name w:val="Body text"/>
    <w:basedOn w:val="Normal"/>
    <w:qFormat/>
    <w:pPr>
      <w:widowControl/>
      <w:shd w:fill="FFFFFF" w:val="clear"/>
      <w:suppressAutoHyphens w:val="false"/>
      <w:spacing w:lineRule="exact" w:line="326" w:before="240" w:after="0"/>
      <w:jc w:val="both"/>
      <w:textAlignment w:val="auto"/>
    </w:pPr>
    <w:rPr>
      <w:kern w:val="0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</TotalTime>
  <Application>LibreOffice/7.3.2.2$Windows_X86_64 LibreOffice_project/49f2b1bff42cfccbd8f788c8dc32c1c309559be0</Application>
  <AppVersion>15.0000</AppVersion>
  <Pages>19</Pages>
  <Words>2732</Words>
  <Characters>21709</Characters>
  <CharactersWithSpaces>24206</CharactersWithSpaces>
  <Paragraphs>432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2022-05-12T08:42:00Z</dcterms:created>
  <dc:creator>Сазонова Мария Вячеславовна</dc:creator>
  <dc:description/>
  <cp:keywords/>
  <dc:language>ru-RU</dc:language>
  <cp:lastModifiedBy/>
  <cp:lastPrinted>2022-08-01T08:41:00Z</cp:lastPrinted>
  <dcterms:modified xsi:type="dcterms:W3CDTF">2022-10-07T10:44:09Z</dcterms:modified>
  <cp:revision>9</cp:revision>
  <dc:subject/>
  <dc:title>Муниципальная программа «Муниципальное управление»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