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A7" w:rsidRDefault="00112BEE">
      <w:pPr>
        <w:spacing w:line="192" w:lineRule="auto"/>
        <w:jc w:val="center"/>
        <w:rPr>
          <w:rFonts w:ascii="PT Astra Serif" w:hAnsi="PT Astra Serif"/>
          <w:smallCap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mallCaps/>
          <w:sz w:val="28"/>
          <w:szCs w:val="28"/>
        </w:rPr>
        <w:t xml:space="preserve"> АДМИНИСТРАЦИЯ МУНИЦИПАЛЬНОГО ОБРАЗОВАНИЯ</w:t>
      </w:r>
    </w:p>
    <w:p w:rsidR="006436A7" w:rsidRDefault="00112BEE">
      <w:pPr>
        <w:spacing w:line="192" w:lineRule="auto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 «ТЕРЕНЬГУЛЬСКИЙ РАЙОН»</w:t>
      </w:r>
    </w:p>
    <w:p w:rsidR="006436A7" w:rsidRDefault="00112BEE">
      <w:pPr>
        <w:spacing w:line="192" w:lineRule="auto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 w:rsidR="006436A7" w:rsidRDefault="006436A7">
      <w:pPr>
        <w:spacing w:line="192" w:lineRule="auto"/>
        <w:jc w:val="center"/>
        <w:rPr>
          <w:rFonts w:ascii="PT Astra Serif" w:hAnsi="PT Astra Serif"/>
          <w:smallCaps/>
        </w:rPr>
      </w:pPr>
    </w:p>
    <w:p w:rsidR="006436A7" w:rsidRDefault="00112BEE">
      <w:pPr>
        <w:jc w:val="center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 w:rsidR="006436A7" w:rsidRDefault="006436A7">
      <w:pPr>
        <w:jc w:val="center"/>
        <w:rPr>
          <w:rFonts w:ascii="PT Astra Serif" w:hAnsi="PT Astra Serif"/>
          <w:b/>
          <w:spacing w:val="144"/>
          <w:sz w:val="28"/>
          <w:szCs w:val="28"/>
        </w:rPr>
      </w:pPr>
    </w:p>
    <w:p w:rsidR="006436A7" w:rsidRDefault="00112BEE">
      <w:pPr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12 декабря 2023 г.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  <w:t xml:space="preserve"> </w:t>
      </w:r>
      <w:r>
        <w:rPr>
          <w:rFonts w:ascii="PT Astra Serif" w:hAnsi="PT Astra Serif"/>
          <w:color w:val="000000"/>
          <w:sz w:val="18"/>
        </w:rPr>
        <w:tab/>
        <w:t xml:space="preserve">  </w:t>
      </w:r>
      <w:r>
        <w:rPr>
          <w:rFonts w:ascii="PT Astra Serif" w:hAnsi="PT Astra Serif"/>
          <w:color w:val="000000"/>
          <w:sz w:val="18"/>
        </w:rPr>
        <w:tab/>
        <w:t xml:space="preserve"> </w:t>
      </w:r>
      <w:r>
        <w:rPr>
          <w:rFonts w:ascii="PT Astra Serif" w:hAnsi="PT Astra Serif"/>
          <w:color w:val="000000"/>
        </w:rPr>
        <w:t>№560</w:t>
      </w:r>
    </w:p>
    <w:p w:rsidR="006436A7" w:rsidRDefault="00112BEE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  <w:t xml:space="preserve">      </w:t>
      </w:r>
      <w:r>
        <w:rPr>
          <w:rFonts w:ascii="PT Astra Serif" w:hAnsi="PT Astra Serif"/>
          <w:color w:val="000000"/>
        </w:rPr>
        <w:tab/>
        <w:t>Экз. № ____</w:t>
      </w:r>
    </w:p>
    <w:p w:rsidR="006436A7" w:rsidRDefault="00112BEE">
      <w:pPr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  <w:r>
        <w:rPr>
          <w:rFonts w:ascii="PT Astra Serif" w:hAnsi="PT Astra Serif"/>
          <w:color w:val="000000"/>
          <w:sz w:val="18"/>
        </w:rPr>
        <w:tab/>
      </w:r>
    </w:p>
    <w:p w:rsidR="006436A7" w:rsidRDefault="00112BEE">
      <w:pPr>
        <w:jc w:val="center"/>
        <w:rPr>
          <w:rFonts w:ascii="PT Astra Serif" w:hAnsi="PT Astra Serif"/>
          <w:color w:val="000000"/>
        </w:rPr>
      </w:pPr>
      <w:proofErr w:type="spellStart"/>
      <w:r>
        <w:rPr>
          <w:rFonts w:ascii="PT Astra Serif" w:hAnsi="PT Astra Serif"/>
          <w:color w:val="000000"/>
        </w:rPr>
        <w:t>р.п</w:t>
      </w:r>
      <w:proofErr w:type="spellEnd"/>
      <w:r>
        <w:rPr>
          <w:rFonts w:ascii="PT Astra Serif" w:hAnsi="PT Astra Serif"/>
          <w:color w:val="000000"/>
        </w:rPr>
        <w:t>. Тереньга</w:t>
      </w:r>
    </w:p>
    <w:p w:rsidR="006436A7" w:rsidRDefault="006436A7">
      <w:pPr>
        <w:jc w:val="center"/>
        <w:rPr>
          <w:rFonts w:ascii="PT Astra Serif" w:hAnsi="PT Astra Serif"/>
          <w:color w:val="000000"/>
          <w:szCs w:val="28"/>
        </w:rPr>
      </w:pPr>
    </w:p>
    <w:p w:rsidR="006436A7" w:rsidRDefault="006436A7">
      <w:pPr>
        <w:jc w:val="center"/>
        <w:rPr>
          <w:rFonts w:ascii="PT Astra Serif" w:hAnsi="PT Astra Serif"/>
          <w:color w:val="000000"/>
          <w:szCs w:val="28"/>
        </w:rPr>
      </w:pPr>
    </w:p>
    <w:tbl>
      <w:tblPr>
        <w:tblW w:w="96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6436A7">
        <w:trPr>
          <w:jc w:val="center"/>
        </w:trPr>
        <w:tc>
          <w:tcPr>
            <w:tcW w:w="9640" w:type="dxa"/>
          </w:tcPr>
          <w:p w:rsidR="006436A7" w:rsidRDefault="00112BE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муниципальной программы «Молодежь»  </w:t>
            </w:r>
          </w:p>
        </w:tc>
      </w:tr>
    </w:tbl>
    <w:p w:rsidR="006436A7" w:rsidRDefault="006436A7">
      <w:pPr>
        <w:jc w:val="both"/>
        <w:rPr>
          <w:rFonts w:ascii="PT Astra Serif" w:hAnsi="PT Astra Serif"/>
        </w:rPr>
      </w:pPr>
    </w:p>
    <w:p w:rsidR="006436A7" w:rsidRDefault="006436A7">
      <w:pPr>
        <w:jc w:val="both"/>
        <w:rPr>
          <w:rFonts w:ascii="PT Astra Serif" w:hAnsi="PT Astra Serif"/>
        </w:rPr>
      </w:pPr>
    </w:p>
    <w:p w:rsidR="006436A7" w:rsidRDefault="006436A7">
      <w:pPr>
        <w:jc w:val="both"/>
        <w:rPr>
          <w:rFonts w:ascii="PT Astra Serif" w:hAnsi="PT Astra Serif"/>
        </w:rPr>
      </w:pP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«Тереньгульский район»                        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436A7" w:rsidRDefault="00112BEE">
      <w:pPr>
        <w:pStyle w:val="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Утвердить прилагаемую муниципальную программу «Молодежь».</w:t>
      </w:r>
    </w:p>
    <w:p w:rsidR="006436A7" w:rsidRDefault="00112BEE">
      <w:pPr>
        <w:pStyle w:val="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постановления возложить на  начальника упр</w:t>
      </w:r>
      <w:r>
        <w:rPr>
          <w:rFonts w:ascii="PT Astra Serif" w:hAnsi="PT Astra Serif"/>
          <w:sz w:val="28"/>
          <w:szCs w:val="28"/>
        </w:rPr>
        <w:t xml:space="preserve">авления социального развития, спорта и охраны здоровья граждан 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муниципальное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 «Тереньгульский район» </w:t>
      </w:r>
      <w:proofErr w:type="spellStart"/>
      <w:r>
        <w:rPr>
          <w:rFonts w:ascii="PT Astra Serif" w:hAnsi="PT Astra Serif"/>
          <w:sz w:val="28"/>
          <w:szCs w:val="28"/>
        </w:rPr>
        <w:t>А.В.Минеева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6436A7" w:rsidRDefault="00112BEE">
      <w:pPr>
        <w:pStyle w:val="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 01.01.2024</w:t>
      </w:r>
      <w:r>
        <w:rPr>
          <w:rFonts w:ascii="PT Astra Serif" w:hAnsi="PT Astra Serif" w:cs="PT Astra Serif"/>
          <w:sz w:val="28"/>
          <w:szCs w:val="28"/>
        </w:rPr>
        <w:t xml:space="preserve"> г. и подлежит  опубликованию в информационном бюллетене «Вестник района».</w:t>
      </w:r>
    </w:p>
    <w:p w:rsidR="006436A7" w:rsidRDefault="006436A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436A7" w:rsidRDefault="006436A7">
      <w:pPr>
        <w:pStyle w:val="3"/>
        <w:jc w:val="both"/>
        <w:rPr>
          <w:rFonts w:ascii="PT Astra Serif" w:hAnsi="PT Astra Serif"/>
          <w:sz w:val="28"/>
          <w:szCs w:val="28"/>
        </w:rPr>
      </w:pPr>
    </w:p>
    <w:p w:rsidR="006436A7" w:rsidRDefault="006436A7">
      <w:pPr>
        <w:pStyle w:val="3"/>
        <w:jc w:val="both"/>
        <w:rPr>
          <w:rFonts w:ascii="PT Astra Serif" w:hAnsi="PT Astra Serif"/>
          <w:sz w:val="28"/>
          <w:szCs w:val="28"/>
        </w:rPr>
      </w:pPr>
    </w:p>
    <w:p w:rsidR="006436A7" w:rsidRDefault="00112BE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6436A7" w:rsidRDefault="00112BE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436A7" w:rsidRDefault="00112BE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Г.А. Шерстнев</w:t>
      </w:r>
    </w:p>
    <w:p w:rsidR="006436A7" w:rsidRDefault="006436A7">
      <w:pPr>
        <w:jc w:val="both"/>
        <w:rPr>
          <w:rFonts w:ascii="PT Astra Serif" w:hAnsi="PT Astra Serif"/>
          <w:sz w:val="28"/>
          <w:szCs w:val="28"/>
        </w:rPr>
      </w:pPr>
    </w:p>
    <w:p w:rsidR="006436A7" w:rsidRDefault="006436A7">
      <w:pPr>
        <w:jc w:val="both"/>
        <w:rPr>
          <w:rFonts w:ascii="PT Astra Serif" w:hAnsi="PT Astra Serif"/>
          <w:sz w:val="28"/>
          <w:szCs w:val="28"/>
        </w:rPr>
      </w:pPr>
    </w:p>
    <w:p w:rsidR="006436A7" w:rsidRDefault="006436A7">
      <w:pPr>
        <w:jc w:val="both"/>
        <w:rPr>
          <w:rFonts w:ascii="PT Astra Serif" w:hAnsi="PT Astra Serif"/>
          <w:sz w:val="28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112BEE">
      <w:pPr>
        <w:autoSpaceDE w:val="0"/>
        <w:jc w:val="center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lastRenderedPageBreak/>
        <w:t xml:space="preserve">                           </w:t>
      </w:r>
    </w:p>
    <w:p w:rsidR="006436A7" w:rsidRDefault="006436A7">
      <w:pPr>
        <w:autoSpaceDE w:val="0"/>
        <w:jc w:val="center"/>
        <w:rPr>
          <w:rFonts w:ascii="PT Astra Serif" w:eastAsia="PT Astra Serif" w:hAnsi="PT Astra Serif" w:cs="PT Astra Serif"/>
          <w:bCs/>
          <w:sz w:val="28"/>
          <w:szCs w:val="28"/>
        </w:rPr>
      </w:pPr>
    </w:p>
    <w:p w:rsidR="006436A7" w:rsidRDefault="006436A7">
      <w:pPr>
        <w:autoSpaceDE w:val="0"/>
        <w:jc w:val="center"/>
        <w:rPr>
          <w:rFonts w:ascii="PT Astra Serif" w:eastAsia="PT Astra Serif" w:hAnsi="PT Astra Serif" w:cs="PT Astra Serif"/>
          <w:bCs/>
          <w:sz w:val="28"/>
          <w:szCs w:val="28"/>
        </w:rPr>
      </w:pPr>
    </w:p>
    <w:p w:rsidR="006436A7" w:rsidRDefault="00112BEE">
      <w:pPr>
        <w:autoSpaceDE w:val="0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                                            </w:t>
      </w: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                         </w:t>
      </w:r>
      <w:r>
        <w:rPr>
          <w:rFonts w:ascii="PT Astra Serif" w:eastAsia="PT Astra Serif" w:hAnsi="PT Astra Serif" w:cs="PT Astra Serif"/>
          <w:bCs/>
          <w:sz w:val="20"/>
          <w:szCs w:val="20"/>
        </w:rPr>
        <w:t xml:space="preserve">      </w:t>
      </w:r>
      <w:r>
        <w:rPr>
          <w:rFonts w:ascii="PT Astra Serif" w:eastAsia="Droid Sans Fallback" w:hAnsi="PT Astra Serif" w:cs="PT Astra Serif"/>
          <w:bCs/>
          <w:lang w:eastAsia="zh-CN" w:bidi="hi-IN"/>
        </w:rPr>
        <w:t>Приложение</w:t>
      </w:r>
    </w:p>
    <w:p w:rsidR="006436A7" w:rsidRDefault="00112BEE">
      <w:pPr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к постановлению администрации </w:t>
      </w:r>
    </w:p>
    <w:p w:rsidR="006436A7" w:rsidRDefault="00112BEE">
      <w:pPr>
        <w:autoSpaceDE w:val="0"/>
        <w:jc w:val="center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  <w:t xml:space="preserve">              муниципального образования</w:t>
      </w:r>
    </w:p>
    <w:p w:rsidR="006436A7" w:rsidRDefault="00112BEE">
      <w:pPr>
        <w:autoSpaceDE w:val="0"/>
        <w:jc w:val="center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  <w:t xml:space="preserve">                                «Тереньгульский район»  </w:t>
      </w:r>
    </w:p>
    <w:p w:rsidR="006436A7" w:rsidRDefault="00112BEE">
      <w:pPr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</w:r>
      <w:r>
        <w:rPr>
          <w:rFonts w:ascii="PT Astra Serif" w:hAnsi="PT Astra Serif" w:cs="PT Astra Serif"/>
          <w:bCs/>
        </w:rPr>
        <w:tab/>
        <w:t xml:space="preserve">                   от </w:t>
      </w:r>
      <w:r>
        <w:rPr>
          <w:rFonts w:ascii="PT Astra Serif" w:eastAsia="Droid Sans Fallback" w:hAnsi="PT Astra Serif" w:cs="PT Astra Serif"/>
          <w:bCs/>
          <w:lang w:eastAsia="zh-CN" w:bidi="hi-IN"/>
        </w:rPr>
        <w:t xml:space="preserve">2023 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b/>
          <w:bCs/>
        </w:rPr>
        <w:t xml:space="preserve">№       </w:t>
      </w:r>
      <w:r>
        <w:rPr>
          <w:rFonts w:ascii="PT Astra Serif" w:hAnsi="PT Astra Serif" w:cs="PT Astra Serif"/>
          <w:b/>
          <w:bCs/>
          <w:sz w:val="20"/>
          <w:szCs w:val="20"/>
        </w:rPr>
        <w:t xml:space="preserve"> 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</w:t>
      </w:r>
    </w:p>
    <w:p w:rsidR="006436A7" w:rsidRDefault="006436A7">
      <w:pPr>
        <w:autoSpaceDE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436A7" w:rsidRDefault="00112BEE">
      <w:pPr>
        <w:autoSpaceDE w:val="0"/>
        <w:spacing w:line="360" w:lineRule="auto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6436A7" w:rsidRDefault="00112BEE">
      <w:pPr>
        <w:autoSpaceDE w:val="0"/>
        <w:spacing w:line="360" w:lineRule="auto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              «Молодежь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6436A7" w:rsidRDefault="00112BEE">
      <w:pPr>
        <w:autoSpaceDE w:val="0"/>
        <w:spacing w:line="360" w:lineRule="auto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6436A7">
      <w:pPr>
        <w:jc w:val="both"/>
        <w:rPr>
          <w:rFonts w:ascii="PT Astra Serif" w:hAnsi="PT Astra Serif"/>
          <w:szCs w:val="28"/>
        </w:rPr>
      </w:pPr>
    </w:p>
    <w:p w:rsidR="006436A7" w:rsidRDefault="00112BEE">
      <w:pPr>
        <w:pStyle w:val="Bodytext3"/>
        <w:widowControl/>
        <w:shd w:val="clear" w:color="auto" w:fill="auto"/>
        <w:spacing w:before="0" w:after="0" w:line="200" w:lineRule="atLeast"/>
        <w:ind w:right="-4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ПАСПОРТ </w:t>
      </w:r>
    </w:p>
    <w:p w:rsidR="006436A7" w:rsidRDefault="00112BEE">
      <w:pPr>
        <w:pStyle w:val="Bodytext3"/>
        <w:widowControl/>
        <w:shd w:val="clear" w:color="auto" w:fill="auto"/>
        <w:spacing w:before="0" w:after="0" w:line="200" w:lineRule="atLeast"/>
        <w:ind w:right="-4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муниципальной программы</w:t>
      </w:r>
    </w:p>
    <w:p w:rsidR="006436A7" w:rsidRDefault="006436A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3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82"/>
        <w:gridCol w:w="5954"/>
      </w:tblGrid>
      <w:tr w:rsidR="006436A7"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snapToGrid w:val="0"/>
              <w:spacing w:line="200" w:lineRule="atLeas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Муниципальная программа «Молодёжь» 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Муниципальный заказчик м</w:t>
            </w:r>
            <w:r>
              <w:rPr>
                <w:rFonts w:ascii="PT Astra Serif" w:hAnsi="PT Astra Serif" w:cs="PT Astra Serif"/>
              </w:rPr>
              <w:t>у</w:t>
            </w:r>
            <w:r>
              <w:rPr>
                <w:rFonts w:ascii="PT Astra Serif" w:hAnsi="PT Astra Serif" w:cs="PT Astra Serif"/>
              </w:rPr>
              <w:t xml:space="preserve">ниципальной программы </w:t>
            </w:r>
            <w:r>
              <w:rPr>
                <w:rFonts w:ascii="PT Astra Serif" w:hAnsi="PT Astra Serif" w:cs="PT Astra Serif"/>
              </w:rPr>
              <w:t>(М</w:t>
            </w:r>
            <w:r>
              <w:rPr>
                <w:rFonts w:ascii="PT Astra Serif" w:hAnsi="PT Astra Serif" w:cs="PT Astra Serif"/>
              </w:rPr>
              <w:t>у</w:t>
            </w:r>
            <w:r>
              <w:rPr>
                <w:rFonts w:ascii="PT Astra Serif" w:hAnsi="PT Astra Serif" w:cs="PT Astra Serif"/>
              </w:rPr>
              <w:t>ниципальный заказчик - коо</w:t>
            </w:r>
            <w:r>
              <w:rPr>
                <w:rFonts w:ascii="PT Astra Serif" w:hAnsi="PT Astra Serif" w:cs="PT Astra Serif"/>
              </w:rPr>
              <w:t>р</w:t>
            </w:r>
            <w:r>
              <w:rPr>
                <w:rFonts w:ascii="PT Astra Serif" w:hAnsi="PT Astra Serif" w:cs="PT Astra Serif"/>
              </w:rPr>
              <w:t>динатор муниципальной  пр</w:t>
            </w:r>
            <w:r>
              <w:rPr>
                <w:rFonts w:ascii="PT Astra Serif" w:hAnsi="PT Astra Serif" w:cs="PT Astra Serif"/>
              </w:rPr>
              <w:t>о</w:t>
            </w:r>
            <w:r>
              <w:rPr>
                <w:rFonts w:ascii="PT Astra Serif" w:hAnsi="PT Astra Serif" w:cs="PT Astra Serif"/>
              </w:rPr>
              <w:t>граммы)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«Тереньгульский район»</w:t>
            </w:r>
          </w:p>
          <w:p w:rsidR="006436A7" w:rsidRDefault="006436A7">
            <w:pPr>
              <w:snapToGrid w:val="0"/>
              <w:spacing w:line="200" w:lineRule="atLeast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Соисполнители муниципальной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 Отдел образования муниципального образования «Тереньгульский район» (по </w:t>
            </w:r>
            <w:r>
              <w:rPr>
                <w:rFonts w:ascii="PT Astra Serif" w:hAnsi="PT Astra Serif"/>
                <w:sz w:val="28"/>
                <w:szCs w:val="28"/>
              </w:rPr>
              <w:t>согласованию)</w:t>
            </w:r>
          </w:p>
          <w:p w:rsidR="006436A7" w:rsidRDefault="00112BEE">
            <w:pPr>
              <w:snapToGrid w:val="0"/>
              <w:spacing w:line="200" w:lineRule="atLeas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Подпрограммы муниципальной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aa"/>
              <w:snapToGrid w:val="0"/>
              <w:spacing w:line="20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Не предусмотрено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Проекты, реализуемые в сост</w:t>
            </w:r>
            <w:r>
              <w:rPr>
                <w:rFonts w:ascii="PT Astra Serif" w:hAnsi="PT Astra Serif" w:cs="PT Astra Serif"/>
              </w:rPr>
              <w:t>а</w:t>
            </w:r>
            <w:r>
              <w:rPr>
                <w:rFonts w:ascii="PT Astra Serif" w:hAnsi="PT Astra Serif" w:cs="PT Astra Serif"/>
              </w:rPr>
              <w:t>ве муниципальной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aa"/>
              <w:snapToGrid w:val="0"/>
              <w:spacing w:line="20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Не 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редусмотрено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Цели и задачи муниципальной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Цель:</w:t>
            </w:r>
          </w:p>
          <w:p w:rsidR="006436A7" w:rsidRDefault="00112B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возможностей для успешной социализации, самореализации, проявления и развития потенциала молодых людей, вне зависимости от социального статуса, посредством увеличения количества молодых людей, принимающих активное участие в реализации проектов,  к</w:t>
            </w:r>
            <w:r>
              <w:rPr>
                <w:rFonts w:ascii="PT Astra Serif" w:hAnsi="PT Astra Serif"/>
                <w:sz w:val="28"/>
                <w:szCs w:val="28"/>
              </w:rPr>
              <w:t>онкурсов,  мероприятий, акций в сфере молодёжной политики на территории Тереньгульского района.</w:t>
            </w:r>
          </w:p>
          <w:p w:rsidR="006436A7" w:rsidRDefault="00112BE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Задачи:</w:t>
            </w:r>
          </w:p>
          <w:p w:rsidR="006436A7" w:rsidRDefault="00112B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механизмов стимулирования активности молодёжи и её участия в разработке и реализации инновационных идей, проектов, конкурсов;</w:t>
            </w:r>
          </w:p>
          <w:p w:rsidR="006436A7" w:rsidRDefault="00112B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обеспечение э</w:t>
            </w:r>
            <w:r>
              <w:rPr>
                <w:rFonts w:ascii="PT Astra Serif" w:hAnsi="PT Astra Serif"/>
                <w:sz w:val="28"/>
                <w:szCs w:val="28"/>
              </w:rPr>
              <w:t>ффективной социализации и вовлечения молодёжи в активную общественную деятельность;</w:t>
            </w:r>
          </w:p>
          <w:p w:rsidR="006436A7" w:rsidRDefault="00112B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формирование механизмов поддержки и реабилитации молодёжи, находящейся в трудной жизненной ситуации;</w:t>
            </w:r>
          </w:p>
          <w:p w:rsidR="006436A7" w:rsidRDefault="00112B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создание системных механизмов воспитания у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молодёжи чувства патриот</w:t>
            </w:r>
            <w:r>
              <w:rPr>
                <w:rFonts w:ascii="PT Astra Serif" w:hAnsi="PT Astra Serif"/>
                <w:sz w:val="28"/>
                <w:szCs w:val="28"/>
              </w:rPr>
              <w:t>изма и гражданской ответственности, привитие гражданских и культурных ценностей;</w:t>
            </w:r>
          </w:p>
          <w:p w:rsidR="006436A7" w:rsidRDefault="00112B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формирование здорового образа жизни; </w:t>
            </w:r>
          </w:p>
          <w:p w:rsidR="006436A7" w:rsidRDefault="00112BEE">
            <w:pPr>
              <w:snapToGrid w:val="0"/>
              <w:spacing w:line="200" w:lineRule="atLeas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профилактика безнадзорности и правонарушений, наркомании,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, алкоголизма в молодёжной среде.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Целевые индикаторы муниц</w:t>
            </w:r>
            <w:r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>па</w:t>
            </w:r>
            <w:r>
              <w:rPr>
                <w:rFonts w:ascii="PT Astra Serif" w:hAnsi="PT Astra Serif" w:cs="PT Astra Serif"/>
              </w:rPr>
              <w:t>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ab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удельный вес численности молодых людей в возрасте от 14 до 30 лет, участвующих в мероприятиях, фестивалях, конкурсах, проектах (целевое значение 5 %);</w:t>
            </w:r>
          </w:p>
          <w:p w:rsidR="006436A7" w:rsidRDefault="00112BEE">
            <w:pPr>
              <w:pStyle w:val="ab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удельный вес численности молодых людей в возрасте от 14 до 30 лет, принимающих участ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ие в волонтерской деятельности (целевое значение 3%);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Сроки и этапы реализации м</w:t>
            </w:r>
            <w:r>
              <w:rPr>
                <w:rFonts w:ascii="PT Astra Serif" w:hAnsi="PT Astra Serif" w:cs="PT Astra Serif"/>
              </w:rPr>
              <w:t>у</w:t>
            </w:r>
            <w:r>
              <w:rPr>
                <w:rFonts w:ascii="PT Astra Serif" w:hAnsi="PT Astra Serif" w:cs="PT Astra Serif"/>
              </w:rPr>
              <w:t>ниципальной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aa"/>
              <w:snapToGrid w:val="0"/>
              <w:spacing w:line="20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Программа реализуется в период с 2024-2028 г в один этап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Ресурсное обеспечение мун</w:t>
            </w:r>
            <w:r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>ципальной программы с разби</w:t>
            </w:r>
            <w:r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>кой по этапам и годам реализ</w:t>
            </w:r>
            <w:r>
              <w:rPr>
                <w:rFonts w:ascii="PT Astra Serif" w:hAnsi="PT Astra Serif" w:cs="PT Astra Serif"/>
              </w:rPr>
              <w:t>а</w:t>
            </w:r>
            <w:r>
              <w:rPr>
                <w:rFonts w:ascii="PT Astra Serif" w:hAnsi="PT Astra Serif" w:cs="PT Astra Serif"/>
              </w:rPr>
              <w:t>ции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zh-CN" w:bidi="hi-IN"/>
              </w:rPr>
              <w:t xml:space="preserve">Средства бюджета муниципального образования «Тереньгульский район» на 2024-2028 годы потребует финансирования в размере </w:t>
            </w: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zh-CN" w:bidi="hi-IN"/>
              </w:rPr>
              <w:t>508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,0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>тыс. рублей, в том числе по годам:</w:t>
            </w:r>
          </w:p>
          <w:p w:rsidR="006436A7" w:rsidRDefault="00112BEE">
            <w:pPr>
              <w:autoSpaceDE w:val="0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2024 год –  40,0 тыс. рублей,</w:t>
            </w:r>
          </w:p>
          <w:p w:rsidR="006436A7" w:rsidRDefault="00112BEE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" w:name="sub_1104"/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2025 год – </w:t>
            </w:r>
            <w:bookmarkEnd w:id="1"/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40,0 тыс. рублей,</w:t>
            </w:r>
          </w:p>
          <w:p w:rsidR="006436A7" w:rsidRDefault="00112BEE">
            <w:pPr>
              <w:autoSpaceDE w:val="0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2026 год –  40,0 тыс. рублей,</w:t>
            </w:r>
          </w:p>
          <w:p w:rsidR="006436A7" w:rsidRDefault="00112BEE">
            <w:pPr>
              <w:autoSpaceDE w:val="0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2027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>год -  194,0 тыс. рублей,</w:t>
            </w:r>
          </w:p>
          <w:p w:rsidR="006436A7" w:rsidRDefault="00112BEE">
            <w:pPr>
              <w:autoSpaceDE w:val="0"/>
              <w:snapToGrid w:val="0"/>
              <w:spacing w:line="200" w:lineRule="atLeast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2028 год — 194,0 тыс. рублей.</w:t>
            </w:r>
          </w:p>
          <w:p w:rsidR="006436A7" w:rsidRDefault="00112BEE">
            <w:pPr>
              <w:autoSpaceDE w:val="0"/>
              <w:snapToGrid w:val="0"/>
              <w:spacing w:line="200" w:lineRule="atLeast"/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Расходы на реализацию программных мероприятий за счет средств бюджета муниципального образования «Тереньгульский район» подлежат ежегодному уточнению при формировании бюджета муниципального образовани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я «Тереньгульский район»» на соответствующий финансовый год. 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ind w:left="8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Ресурсное обеспечение прое</w:t>
            </w:r>
            <w:r>
              <w:rPr>
                <w:rFonts w:ascii="PT Astra Serif" w:hAnsi="PT Astra Serif" w:cs="PT Astra Serif"/>
              </w:rPr>
              <w:t>к</w:t>
            </w:r>
            <w:r>
              <w:rPr>
                <w:rFonts w:ascii="PT Astra Serif" w:hAnsi="PT Astra Serif" w:cs="PT Astra Serif"/>
              </w:rPr>
              <w:t>тов, реализуемых в составе м</w:t>
            </w:r>
            <w:r>
              <w:rPr>
                <w:rFonts w:ascii="PT Astra Serif" w:hAnsi="PT Astra Serif" w:cs="PT Astra Serif"/>
              </w:rPr>
              <w:t>у</w:t>
            </w:r>
            <w:r>
              <w:rPr>
                <w:rFonts w:ascii="PT Astra Serif" w:hAnsi="PT Astra Serif" w:cs="PT Astra Serif"/>
              </w:rPr>
              <w:t>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aa"/>
              <w:snapToGrid w:val="0"/>
              <w:spacing w:line="200" w:lineRule="atLeas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Не предусмотрено</w:t>
            </w:r>
          </w:p>
        </w:tc>
      </w:tr>
      <w:tr w:rsidR="006436A7">
        <w:tc>
          <w:tcPr>
            <w:tcW w:w="4082" w:type="dxa"/>
            <w:tcBorders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1"/>
              <w:shd w:val="clear" w:color="auto" w:fill="auto"/>
              <w:spacing w:before="0" w:line="20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Ожидаемые результаты реализ</w:t>
            </w:r>
            <w:r>
              <w:rPr>
                <w:rFonts w:ascii="PT Astra Serif" w:hAnsi="PT Astra Serif" w:cs="PT Astra Serif"/>
              </w:rPr>
              <w:t>а</w:t>
            </w:r>
            <w:r>
              <w:rPr>
                <w:rFonts w:ascii="PT Astra Serif" w:hAnsi="PT Astra Serif" w:cs="PT Astra Serif"/>
              </w:rPr>
              <w:t>ции муниципальной  программы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snapToGrid w:val="0"/>
              <w:spacing w:line="200" w:lineRule="atLeas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 результате выполнения Программы увеличится количество молодых людей, участвующих в добровольческой деятельности; увеличится информированность учащихся в образовательных учреждениях  и обучающихся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в учреждениях начального профессионального образования о 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рофориентации; увеличится количество молодёжи, участвующей в социально-общественной деятельности. </w:t>
            </w:r>
          </w:p>
        </w:tc>
      </w:tr>
    </w:tbl>
    <w:p w:rsidR="006436A7" w:rsidRDefault="00112BE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1.Введение</w:t>
      </w:r>
    </w:p>
    <w:p w:rsidR="006436A7" w:rsidRDefault="006436A7">
      <w:pPr>
        <w:jc w:val="center"/>
        <w:rPr>
          <w:rFonts w:ascii="PT Astra Serif" w:hAnsi="PT Astra Serif"/>
          <w:b/>
          <w:sz w:val="28"/>
          <w:szCs w:val="28"/>
        </w:rPr>
      </w:pP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Асоциальное поведение - поведение, противоречащее общественным нормам и принципам, выступающее в форме безнравственных или противоправных действий.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Идентичность гражданская - осознание принадлежности к сообществу граждан того или иного государства, имеющие для индивида значимый смысл.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Инновационное поведение - инициативный тип индивидуального или коллективного поведения, связанный с систематическим о</w:t>
      </w:r>
      <w:r>
        <w:rPr>
          <w:rFonts w:ascii="PT Astra Serif" w:hAnsi="PT Astra Serif"/>
          <w:sz w:val="28"/>
          <w:szCs w:val="28"/>
        </w:rPr>
        <w:t xml:space="preserve">своением социальными субъектами новых способов деятельности в различных сферах общественной жизни либо созданием новых объектов материальной и духовной культур.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Молодежь - это особая социально-возрастная группа, отличающаяся возрастными рамками и своим с</w:t>
      </w:r>
      <w:r>
        <w:rPr>
          <w:rFonts w:ascii="PT Astra Serif" w:hAnsi="PT Astra Serif"/>
          <w:sz w:val="28"/>
          <w:szCs w:val="28"/>
        </w:rPr>
        <w:t>татусом в обществе: переход от детства и юности к социальной ответственности. Некоторыми учеными молодежь понимается как совокупность молодых людей, которым общество предоставляет возможность социального становления, обеспечивая их льготами, но ограничивая</w:t>
      </w:r>
      <w:r>
        <w:rPr>
          <w:rFonts w:ascii="PT Astra Serif" w:hAnsi="PT Astra Serif"/>
          <w:sz w:val="28"/>
          <w:szCs w:val="28"/>
        </w:rPr>
        <w:t xml:space="preserve"> в возможности активного участия в определенных сферах жизни социума.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Репродуктивное поведение - действия людей и отношения между ними, возникающие в связи с рождением ребенка или отказом от рождения.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Социальная адаптация - становление личности, процес</w:t>
      </w:r>
      <w:r>
        <w:rPr>
          <w:rFonts w:ascii="PT Astra Serif" w:hAnsi="PT Astra Serif"/>
          <w:sz w:val="28"/>
          <w:szCs w:val="28"/>
        </w:rPr>
        <w:t xml:space="preserve">с усвоения индивидом образцов поведения, психологических установок, социальных норм и ценностей, знаний, навыков, позволяющих ему успешно функционировать в обществе. Социализация человека начинается с рождения и продолжается на протяжении всей жизни. В ее </w:t>
      </w:r>
      <w:r>
        <w:rPr>
          <w:rFonts w:ascii="PT Astra Serif" w:hAnsi="PT Astra Serif"/>
          <w:sz w:val="28"/>
          <w:szCs w:val="28"/>
        </w:rPr>
        <w:t>процессе он усваивает накопленный человечеством социальный опыт в различных сферах жизнедеятельности, который позволяет исполнять определенные, жизненно важные, социальные роли. Социализация рассматривается как процесс, условие, проявление и результат соци</w:t>
      </w:r>
      <w:r>
        <w:rPr>
          <w:rFonts w:ascii="PT Astra Serif" w:hAnsi="PT Astra Serif"/>
          <w:sz w:val="28"/>
          <w:szCs w:val="28"/>
        </w:rPr>
        <w:t xml:space="preserve">ального формирования личности. Как процесс она означает социальное становление и развитие личности в зависимости от характера взаимодействия человека со средой обитания, адаптации к ней с учетом индивидуальных особенностей. Как условие - свидетельствует о </w:t>
      </w:r>
      <w:r>
        <w:rPr>
          <w:rFonts w:ascii="PT Astra Serif" w:hAnsi="PT Astra Serif"/>
          <w:sz w:val="28"/>
          <w:szCs w:val="28"/>
        </w:rPr>
        <w:t xml:space="preserve">наличии того социума, который необходим человеку для естественного социального развития как личности. Как проявление - это социальная реакция человека с учетом его возраста и социального развития в системе конкретных общественных отношений.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Социальная пр</w:t>
      </w:r>
      <w:r>
        <w:rPr>
          <w:rFonts w:ascii="PT Astra Serif" w:hAnsi="PT Astra Serif"/>
          <w:sz w:val="28"/>
          <w:szCs w:val="28"/>
        </w:rPr>
        <w:t xml:space="preserve">актика - вид практики, в ходе которой субъект, используя </w:t>
      </w:r>
      <w:r>
        <w:rPr>
          <w:rFonts w:ascii="PT Astra Serif" w:hAnsi="PT Astra Serif"/>
          <w:sz w:val="28"/>
          <w:szCs w:val="28"/>
        </w:rPr>
        <w:lastRenderedPageBreak/>
        <w:t xml:space="preserve">общественные институты, организации и учреждения, воздействуя на систему общественных отношений, изменяет общество и развивается сам.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bookmarkStart w:id="2" w:name="sub_241"/>
      <w:bookmarkEnd w:id="2"/>
      <w:r>
        <w:rPr>
          <w:rFonts w:ascii="PT Astra Serif" w:hAnsi="PT Astra Serif"/>
          <w:sz w:val="28"/>
          <w:szCs w:val="28"/>
        </w:rPr>
        <w:t>Инфраструктура молодежной политики - комплекс объектов, предназн</w:t>
      </w:r>
      <w:r>
        <w:rPr>
          <w:rFonts w:ascii="PT Astra Serif" w:hAnsi="PT Astra Serif"/>
          <w:sz w:val="28"/>
          <w:szCs w:val="28"/>
        </w:rPr>
        <w:t xml:space="preserve">аченных для реализации мер в сфере молодежной политики, находящихся в собственности Ульяновской области или муниципальных образований Ульяновской области.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bookmarkStart w:id="3" w:name="sub_251"/>
      <w:bookmarkEnd w:id="3"/>
      <w:r>
        <w:rPr>
          <w:rFonts w:ascii="PT Astra Serif" w:hAnsi="PT Astra Serif"/>
          <w:sz w:val="28"/>
          <w:szCs w:val="28"/>
        </w:rPr>
        <w:tab/>
        <w:t xml:space="preserve">Объект молодежной инфраструктуры - имущественный комплекс, здание, сооружение или их часть.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Совре</w:t>
      </w:r>
      <w:r>
        <w:rPr>
          <w:rFonts w:ascii="PT Astra Serif" w:hAnsi="PT Astra Serif"/>
          <w:sz w:val="28"/>
          <w:szCs w:val="28"/>
        </w:rPr>
        <w:t>менная модель государственной молодежной политики в Российской Федерации формировалась с начала 90-х годов. За это время были определены не только основные направления и механизмы реализации государственной молодежной политики, но и ее внутренние законы, с</w:t>
      </w:r>
      <w:r>
        <w:rPr>
          <w:rFonts w:ascii="PT Astra Serif" w:hAnsi="PT Astra Serif"/>
          <w:sz w:val="28"/>
          <w:szCs w:val="28"/>
        </w:rPr>
        <w:t xml:space="preserve">истема построения, пути развития, методы оценки эффективности, которые не являются устоявшимися и пока не имеют единых общепризнанных стандартов, правил, традиций.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Одним из важнейших факторов устойчивого развития муниципального образования «Тереньгульски</w:t>
      </w:r>
      <w:r>
        <w:rPr>
          <w:rFonts w:ascii="PT Astra Serif" w:hAnsi="PT Astra Serif"/>
          <w:sz w:val="28"/>
          <w:szCs w:val="28"/>
        </w:rPr>
        <w:t xml:space="preserve">й район», роста благосостояния его граждан и совершенствования общественных отношений является эффективная деятельность органов местного самоуправления в сфере молодежной политики, которую следует рассматривать как самостоятельное направление деятельности </w:t>
      </w:r>
      <w:r>
        <w:rPr>
          <w:rFonts w:ascii="PT Astra Serif" w:hAnsi="PT Astra Serif"/>
          <w:sz w:val="28"/>
          <w:szCs w:val="28"/>
        </w:rPr>
        <w:t>органов местного самоуправления района, предусматривающее формирование необходимых социальных условий инновационного развития района, реализуемое на основе активного взаимодействия с институтами гражданского общества, общественными объединениями и молодежн</w:t>
      </w:r>
      <w:r>
        <w:rPr>
          <w:rFonts w:ascii="PT Astra Serif" w:hAnsi="PT Astra Serif"/>
          <w:sz w:val="28"/>
          <w:szCs w:val="28"/>
        </w:rPr>
        <w:t>ыми</w:t>
      </w:r>
      <w:proofErr w:type="gramEnd"/>
      <w:r>
        <w:rPr>
          <w:rFonts w:ascii="PT Astra Serif" w:hAnsi="PT Astra Serif"/>
          <w:sz w:val="28"/>
          <w:szCs w:val="28"/>
        </w:rPr>
        <w:t xml:space="preserve"> организациями.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муниципальной программе «Молодежь» (далее Программа) предусмотрен комплекс мер по реализации инновационного потенциала молодежи, гражданскому образованию, патриотическому воспитанию, формированию толерантности, поддержке молодежных и</w:t>
      </w:r>
      <w:r>
        <w:rPr>
          <w:rFonts w:ascii="PT Astra Serif" w:hAnsi="PT Astra Serif"/>
          <w:sz w:val="28"/>
          <w:szCs w:val="28"/>
        </w:rPr>
        <w:t xml:space="preserve">нициатив, развитию волонтерского движения, включению молодежи в социальную практику, поддержке молодых семей, инициативной и талантливой молодежи.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Программе в качестве ключевых проблем рассматриваются: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несоответствие жизненных установок, ценностей и </w:t>
      </w:r>
      <w:r>
        <w:rPr>
          <w:rFonts w:ascii="PT Astra Serif" w:hAnsi="PT Astra Serif"/>
          <w:sz w:val="28"/>
          <w:szCs w:val="28"/>
        </w:rPr>
        <w:t xml:space="preserve">моделей поведения молодых людей потребностям страны;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отсутствие комплексной системы выявления и продвижения инициативной и талантливой молодежи;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отсутствие у молодежи интереса к участию в общественно-политической жизни общества;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социальная изолирован</w:t>
      </w:r>
      <w:r>
        <w:rPr>
          <w:rFonts w:ascii="PT Astra Serif" w:hAnsi="PT Astra Serif"/>
          <w:sz w:val="28"/>
          <w:szCs w:val="28"/>
        </w:rPr>
        <w:t xml:space="preserve">ность молодых людей, находящихся в трудной жизненной ситуации, отсутствие возможностей для полноценной социализации и вовлечения их в трудовую деятельность;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отсутствие знаний о других народах, культуре и религиях, наличие негативных этнических и религиоз</w:t>
      </w:r>
      <w:r>
        <w:rPr>
          <w:rFonts w:ascii="PT Astra Serif" w:hAnsi="PT Astra Serif"/>
          <w:sz w:val="28"/>
          <w:szCs w:val="28"/>
        </w:rPr>
        <w:t xml:space="preserve">ных стереотипов;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несоответствие кадрового состава и материально-технической базы </w:t>
      </w:r>
      <w:r>
        <w:rPr>
          <w:rFonts w:ascii="PT Astra Serif" w:hAnsi="PT Astra Serif"/>
          <w:sz w:val="28"/>
          <w:szCs w:val="28"/>
        </w:rPr>
        <w:lastRenderedPageBreak/>
        <w:t xml:space="preserve">работающих с молодежью организаций современным технологиям работы и ожиданиям молодых людей.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Перечисленные проблемы требуют системного решения, так как проявляются во всех</w:t>
      </w:r>
      <w:r>
        <w:rPr>
          <w:rFonts w:ascii="PT Astra Serif" w:hAnsi="PT Astra Serif"/>
          <w:sz w:val="28"/>
          <w:szCs w:val="28"/>
        </w:rPr>
        <w:t xml:space="preserve">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нетерпимости, этнического и религиозно-политического эк</w:t>
      </w:r>
      <w:r>
        <w:rPr>
          <w:rFonts w:ascii="PT Astra Serif" w:hAnsi="PT Astra Serif"/>
          <w:sz w:val="28"/>
          <w:szCs w:val="28"/>
        </w:rPr>
        <w:t xml:space="preserve">стремизма.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Вместе с тем молодежь обладает значительным потенциалом, который используется не в полной мере, мобильностью, инициативностью, восприимчивостью к инновационным изменениям, новым технологиям, способностью противодействовать негативным вызовам. </w:t>
      </w:r>
    </w:p>
    <w:p w:rsidR="006436A7" w:rsidRDefault="00112BE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Принципиальная особенность Программы заключается в постановке и решении задач по обеспечению активного вовлечения молодежи в жизнь Тереньгульского района, что требует применения новых методов и технологий формирования и реализации Программы, соответствующ</w:t>
      </w:r>
      <w:r>
        <w:rPr>
          <w:rFonts w:ascii="PT Astra Serif" w:hAnsi="PT Astra Serif"/>
          <w:sz w:val="28"/>
          <w:szCs w:val="28"/>
        </w:rPr>
        <w:t xml:space="preserve">его ресурсного обеспечения. </w:t>
      </w:r>
    </w:p>
    <w:p w:rsidR="006436A7" w:rsidRDefault="006436A7">
      <w:pPr>
        <w:jc w:val="both"/>
        <w:rPr>
          <w:rFonts w:ascii="PT Astra Serif" w:hAnsi="PT Astra Serif"/>
          <w:sz w:val="28"/>
          <w:szCs w:val="28"/>
        </w:rPr>
      </w:pPr>
    </w:p>
    <w:p w:rsidR="006436A7" w:rsidRDefault="006436A7">
      <w:pPr>
        <w:jc w:val="both"/>
        <w:rPr>
          <w:rFonts w:ascii="PT Astra Serif" w:hAnsi="PT Astra Serif"/>
          <w:sz w:val="28"/>
          <w:szCs w:val="28"/>
        </w:rPr>
      </w:pPr>
    </w:p>
    <w:p w:rsidR="006436A7" w:rsidRDefault="00112BEE">
      <w:pPr>
        <w:autoSpaceDE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</w:rPr>
        <w:t>2. </w:t>
      </w:r>
      <w:r>
        <w:rPr>
          <w:rFonts w:ascii="PT Astra Serif" w:eastAsia="Calibri" w:hAnsi="PT Astra Serif" w:cs="PT Astra Serif;Times New Roman"/>
          <w:b/>
          <w:bCs/>
          <w:color w:val="000000"/>
          <w:sz w:val="28"/>
          <w:szCs w:val="28"/>
        </w:rPr>
        <w:t>Организация управления муниципальной Программой</w:t>
      </w:r>
    </w:p>
    <w:p w:rsidR="006436A7" w:rsidRDefault="006436A7">
      <w:pPr>
        <w:jc w:val="both"/>
        <w:rPr>
          <w:rFonts w:ascii="PT Astra Serif" w:hAnsi="PT Astra Serif"/>
          <w:sz w:val="28"/>
          <w:szCs w:val="28"/>
        </w:rPr>
      </w:pPr>
    </w:p>
    <w:p w:rsidR="006436A7" w:rsidRDefault="00112BEE">
      <w:pPr>
        <w:autoSpaceDE w:val="0"/>
        <w:ind w:left="34"/>
        <w:jc w:val="both"/>
        <w:rPr>
          <w:rFonts w:ascii="PT Astra Serif" w:eastAsia="Calibri" w:hAnsi="PT Astra Serif" w:cs="PT Astra Serif"/>
          <w:color w:val="000000"/>
          <w:sz w:val="28"/>
          <w:szCs w:val="28"/>
        </w:rPr>
      </w:pPr>
      <w:r>
        <w:rPr>
          <w:rFonts w:ascii="PT Astra Serif" w:eastAsia="Calibri" w:hAnsi="PT Astra Serif" w:cs="PT Astra Serif"/>
          <w:color w:val="000000"/>
          <w:sz w:val="28"/>
          <w:szCs w:val="28"/>
        </w:rPr>
        <w:tab/>
      </w:r>
      <w:proofErr w:type="gramStart"/>
      <w:r>
        <w:rPr>
          <w:rFonts w:ascii="PT Astra Serif" w:eastAsia="Calibri" w:hAnsi="PT Astra Serif" w:cs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ходом реализации Программы осуществляет начальник управления социального развития, спорта и охраны здоровья граждан администрации муниципального образования «Те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реньгульский район» 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А.В.Минеев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>.</w:t>
      </w:r>
    </w:p>
    <w:p w:rsidR="006436A7" w:rsidRDefault="006436A7">
      <w:pPr>
        <w:autoSpaceDE w:val="0"/>
        <w:ind w:left="34"/>
        <w:jc w:val="both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6436A7" w:rsidRDefault="00112BEE">
      <w:pPr>
        <w:autoSpaceDE w:val="0"/>
        <w:ind w:firstLine="67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>3. Приложения к муниципальной программе</w:t>
      </w:r>
    </w:p>
    <w:p w:rsidR="006436A7" w:rsidRDefault="006436A7">
      <w:pPr>
        <w:autoSpaceDE w:val="0"/>
        <w:snapToGrid w:val="0"/>
        <w:ind w:firstLine="675"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6436A7" w:rsidRDefault="00112BEE">
      <w:pPr>
        <w:autoSpaceDE w:val="0"/>
        <w:snapToGrid w:val="0"/>
        <w:ind w:firstLine="67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ab/>
      </w:r>
      <w:r>
        <w:rPr>
          <w:rFonts w:ascii="PT Astra Serif" w:eastAsia="Calibri" w:hAnsi="PT Astra Serif" w:cs="PT Astra Serif;Times New Roman"/>
          <w:sz w:val="28"/>
          <w:szCs w:val="28"/>
        </w:rPr>
        <w:t xml:space="preserve">1. Приложение №1 Перечень целевых индикаторов муниципальной </w:t>
      </w:r>
      <w:r>
        <w:rPr>
          <w:rFonts w:ascii="PT Astra Serif" w:eastAsia="Calibri" w:hAnsi="PT Astra Serif" w:cs="PT Astra Serif;Times New Roman"/>
          <w:sz w:val="28"/>
          <w:szCs w:val="28"/>
        </w:rPr>
        <w:tab/>
        <w:t xml:space="preserve">программы </w:t>
      </w:r>
      <w:r>
        <w:rPr>
          <w:rFonts w:ascii="PT Astra Serif" w:eastAsia="Calibri" w:hAnsi="PT Astra Serif" w:cs="PT Astra Serif"/>
          <w:sz w:val="28"/>
          <w:szCs w:val="28"/>
        </w:rPr>
        <w:t>«Молодежь» муниципального образования «Тереньгульский район» Ульяновской области».</w:t>
      </w:r>
    </w:p>
    <w:p w:rsidR="006436A7" w:rsidRDefault="00112BEE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sz w:val="28"/>
          <w:szCs w:val="28"/>
        </w:rPr>
        <w:t xml:space="preserve">2. Приложение №2 Система мероприятий муниципальной Программы </w:t>
      </w:r>
      <w:r>
        <w:rPr>
          <w:rFonts w:ascii="PT Astra Serif" w:eastAsia="Calibri" w:hAnsi="PT Astra Serif" w:cs="PT Astra Serif;Times New Roman"/>
          <w:sz w:val="28"/>
          <w:szCs w:val="28"/>
        </w:rPr>
        <w:tab/>
      </w:r>
      <w:r>
        <w:rPr>
          <w:rFonts w:ascii="PT Astra Serif" w:eastAsia="Calibri" w:hAnsi="PT Astra Serif" w:cs="PT Astra Serif"/>
          <w:sz w:val="28"/>
          <w:szCs w:val="28"/>
        </w:rPr>
        <w:t>«Молодежь</w:t>
      </w:r>
      <w:r>
        <w:rPr>
          <w:rFonts w:ascii="PT Astra Serif" w:eastAsia="Calibri" w:hAnsi="PT Astra Serif" w:cs="PT Astra Serif"/>
          <w:sz w:val="28"/>
          <w:szCs w:val="28"/>
        </w:rPr>
        <w:t>» муниципального образования «Тереньгульский район Ульяновской области ».</w:t>
      </w:r>
    </w:p>
    <w:p w:rsidR="006436A7" w:rsidRDefault="00112BEE">
      <w:pPr>
        <w:autoSpaceDE w:val="0"/>
        <w:snapToGrid w:val="0"/>
        <w:ind w:firstLine="67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;Times New Roman"/>
          <w:sz w:val="28"/>
          <w:szCs w:val="28"/>
        </w:rPr>
        <w:t xml:space="preserve">3. Приложение №3 </w:t>
      </w:r>
      <w:r>
        <w:rPr>
          <w:rFonts w:ascii="PT Astra Serif" w:eastAsia="Calibri" w:hAnsi="PT Astra Serif" w:cs="PT Astra Serif;Times New Roman"/>
          <w:sz w:val="28"/>
          <w:szCs w:val="28"/>
          <w:lang w:eastAsia="hi-IN" w:bidi="hi-IN"/>
        </w:rPr>
        <w:t xml:space="preserve">Перечень показателей, характеризующих ожидаемые </w:t>
      </w:r>
      <w:r>
        <w:rPr>
          <w:rFonts w:ascii="PT Astra Serif" w:eastAsia="Calibri" w:hAnsi="PT Astra Serif" w:cs="PT Astra Serif;Times New Roman"/>
          <w:sz w:val="28"/>
          <w:szCs w:val="28"/>
          <w:lang w:eastAsia="hi-IN" w:bidi="hi-IN"/>
        </w:rPr>
        <w:tab/>
        <w:t>результаты реализации муниципальной программы</w:t>
      </w:r>
      <w:r>
        <w:rPr>
          <w:rFonts w:ascii="PT Astra Serif" w:eastAsia="Calibri" w:hAnsi="PT Astra Serif" w:cs="PT Astra Serif;Times New Roman"/>
          <w:sz w:val="28"/>
          <w:szCs w:val="28"/>
          <w:lang w:eastAsia="hi-IN" w:bidi="hi-IN"/>
        </w:rPr>
        <w:t xml:space="preserve">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hi-IN" w:bidi="hi-IN"/>
        </w:rPr>
        <w:t xml:space="preserve">«Молодежь» «Тереньгульский район» </w:t>
      </w:r>
      <w:r>
        <w:rPr>
          <w:rFonts w:ascii="PT Astra Serif" w:eastAsia="Calibri" w:hAnsi="PT Astra Serif" w:cs="PT Astra Serif"/>
          <w:color w:val="000000"/>
          <w:sz w:val="28"/>
          <w:szCs w:val="28"/>
          <w:lang w:eastAsia="hi-IN" w:bidi="hi-IN"/>
        </w:rPr>
        <w:tab/>
        <w:t>Ульяновской области».</w:t>
      </w:r>
    </w:p>
    <w:p w:rsidR="006436A7" w:rsidRDefault="006436A7">
      <w:pPr>
        <w:autoSpaceDE w:val="0"/>
        <w:snapToGrid w:val="0"/>
        <w:ind w:firstLine="675"/>
        <w:jc w:val="both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6436A7" w:rsidRDefault="006436A7">
      <w:pPr>
        <w:autoSpaceDE w:val="0"/>
        <w:ind w:firstLine="675"/>
        <w:jc w:val="both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</w:pPr>
    </w:p>
    <w:p w:rsidR="006436A7" w:rsidRDefault="006436A7">
      <w:pPr>
        <w:widowControl/>
        <w:ind w:right="-850"/>
        <w:jc w:val="right"/>
        <w:rPr>
          <w:rFonts w:ascii="PT Astra Serif" w:eastAsia="Calibri" w:hAnsi="PT Astra Serif"/>
          <w:sz w:val="28"/>
          <w:szCs w:val="28"/>
        </w:rPr>
      </w:pPr>
    </w:p>
    <w:p w:rsidR="006436A7" w:rsidRDefault="006436A7">
      <w:pPr>
        <w:widowControl/>
        <w:ind w:right="-850"/>
        <w:jc w:val="right"/>
        <w:rPr>
          <w:rFonts w:ascii="PT Astra Serif" w:eastAsia="Calibri" w:hAnsi="PT Astra Serif"/>
          <w:sz w:val="28"/>
          <w:szCs w:val="28"/>
        </w:rPr>
        <w:sectPr w:rsidR="006436A7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831" w:left="1134" w:header="0" w:footer="1134" w:gutter="0"/>
          <w:cols w:space="720"/>
          <w:formProt w:val="0"/>
          <w:titlePg/>
          <w:docGrid w:linePitch="600" w:charSpace="32768"/>
        </w:sectPr>
      </w:pPr>
    </w:p>
    <w:p w:rsidR="006436A7" w:rsidRDefault="00112BEE">
      <w:pPr>
        <w:widowControl/>
        <w:ind w:right="-850"/>
        <w:jc w:val="right"/>
        <w:rPr>
          <w:rFonts w:ascii="PT Astra Serif" w:hAnsi="PT Astra Serif"/>
        </w:rPr>
      </w:pPr>
      <w:r>
        <w:rPr>
          <w:rFonts w:ascii="PT Astra Serif" w:eastAsia="Calibri" w:hAnsi="PT Astra Serif"/>
        </w:rPr>
        <w:lastRenderedPageBreak/>
        <w:t xml:space="preserve">Приложение </w:t>
      </w:r>
      <w:r>
        <w:rPr>
          <w:rFonts w:ascii="PT Astra Serif" w:eastAsia="Calibri" w:hAnsi="PT Astra Serif" w:cs="PT Astra Serif;Times New Roman"/>
        </w:rPr>
        <w:t>№</w:t>
      </w:r>
      <w:r>
        <w:rPr>
          <w:rFonts w:ascii="PT Astra Serif" w:eastAsia="Calibri" w:hAnsi="PT Astra Serif"/>
        </w:rPr>
        <w:t xml:space="preserve"> 1 </w:t>
      </w:r>
    </w:p>
    <w:p w:rsidR="006436A7" w:rsidRDefault="00112BEE">
      <w:pPr>
        <w:widowControl/>
        <w:ind w:right="-85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eastAsia="Liberation Serif;Times New Roma" w:hAnsi="PT Astra Serif" w:cs="Liberation Serif;Times New Roma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Liberation Serif;Times New Roma" w:hAnsi="PT Astra Serif" w:cs="Liberation Serif;Times New Roma"/>
          <w:color w:val="000000"/>
        </w:rPr>
        <w:t xml:space="preserve">          </w:t>
      </w:r>
      <w:r>
        <w:rPr>
          <w:rFonts w:ascii="PT Astra Serif" w:eastAsia="Calibri" w:hAnsi="PT Astra Serif" w:cs="PT Astra Serif"/>
          <w:color w:val="000000"/>
        </w:rPr>
        <w:t xml:space="preserve">к Программе  </w:t>
      </w:r>
      <w:r>
        <w:rPr>
          <w:rFonts w:ascii="PT Astra Serif" w:eastAsia="Calibri" w:hAnsi="PT Astra Serif" w:cs="PT Astra Serif"/>
          <w:b/>
          <w:bCs/>
          <w:color w:val="000000"/>
          <w:sz w:val="20"/>
          <w:szCs w:val="20"/>
        </w:rPr>
        <w:t xml:space="preserve"> </w:t>
      </w:r>
    </w:p>
    <w:p w:rsidR="006436A7" w:rsidRDefault="006436A7">
      <w:pPr>
        <w:autoSpaceDE w:val="0"/>
        <w:ind w:firstLine="675"/>
        <w:jc w:val="center"/>
        <w:rPr>
          <w:rFonts w:ascii="PT Astra Serif" w:eastAsia="PT Astra Serif" w:hAnsi="PT Astra Serif" w:cs="PT Astra Serif"/>
          <w:b/>
          <w:bCs/>
          <w:color w:val="000000"/>
          <w:sz w:val="20"/>
          <w:szCs w:val="20"/>
        </w:rPr>
      </w:pPr>
    </w:p>
    <w:p w:rsidR="006436A7" w:rsidRDefault="006436A7">
      <w:pPr>
        <w:autoSpaceDE w:val="0"/>
        <w:ind w:firstLine="675"/>
        <w:jc w:val="center"/>
        <w:rPr>
          <w:rFonts w:ascii="PT Astra Serif" w:eastAsia="Calibri" w:hAnsi="PT Astra Serif" w:cs="PT Astra Serif;Times New Roman"/>
          <w:b/>
          <w:bCs/>
          <w:color w:val="000000"/>
          <w:sz w:val="28"/>
          <w:szCs w:val="28"/>
        </w:rPr>
      </w:pPr>
    </w:p>
    <w:p w:rsidR="006436A7" w:rsidRDefault="00112BEE">
      <w:pPr>
        <w:autoSpaceDE w:val="0"/>
        <w:snapToGrid w:val="0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 xml:space="preserve">Перечень целевых индикаторов муниципальной программы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>«Молодежь муниципального образования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«Тереньгульский район» Ульяновской области».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6436A7" w:rsidRDefault="006436A7">
      <w:pPr>
        <w:autoSpaceDE w:val="0"/>
        <w:snapToGrid w:val="0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6436A7" w:rsidRDefault="006436A7">
      <w:pPr>
        <w:autoSpaceDE w:val="0"/>
        <w:snapToGrid w:val="0"/>
        <w:ind w:firstLine="675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tbl>
      <w:tblPr>
        <w:tblW w:w="15020" w:type="dxa"/>
        <w:tblInd w:w="-22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57"/>
        <w:gridCol w:w="6703"/>
        <w:gridCol w:w="1420"/>
        <w:gridCol w:w="1420"/>
        <w:gridCol w:w="1160"/>
        <w:gridCol w:w="980"/>
        <w:gridCol w:w="960"/>
        <w:gridCol w:w="920"/>
        <w:gridCol w:w="900"/>
      </w:tblGrid>
      <w:tr w:rsidR="006436A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  <w:r>
              <w:rPr>
                <w:rFonts w:ascii="PT Astra Serif" w:eastAsia="Liberation Serif;Times New Roma" w:hAnsi="PT Astra Serif" w:cs="Liberation Serif;Times New R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Базовое значение  целевого индикатора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</w:tr>
      <w:tr w:rsidR="006436A7">
        <w:trPr>
          <w:trHeight w:val="6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pStyle w:val="ab"/>
              <w:snapToGrid w:val="0"/>
              <w:jc w:val="both"/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- удельный вес численности молодых людей в возрасте от 14 до 30 лет, участвующих в мероприятиях, фестивалях, конкурсах, проектах (общее количество молодежи 2 263 человека на октябрь 2023 г.)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  <w:t>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pStyle w:val="aa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5,5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</w:tr>
      <w:tr w:rsidR="006436A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- удельный вес численности молодых людей в возрасте от 14 до 30 лет, принимающих участие в волонтерской деятельности (общее количество молодежи 2 263 человека на октябрь 2023 г.)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sz w:val="20"/>
                <w:szCs w:val="20"/>
                <w:lang w:eastAsia="zh-CN" w:bidi="hi-IN"/>
              </w:rPr>
              <w:t>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pStyle w:val="aa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3,5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5,5</w:t>
            </w:r>
          </w:p>
        </w:tc>
      </w:tr>
    </w:tbl>
    <w:p w:rsidR="006436A7" w:rsidRDefault="006436A7">
      <w:pPr>
        <w:sectPr w:rsidR="006436A7">
          <w:footerReference w:type="even" r:id="rId11"/>
          <w:footerReference w:type="default" r:id="rId12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6436A7" w:rsidRDefault="00112BEE">
      <w:pPr>
        <w:autoSpaceDE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 w:cs="PT Astra Serif;Times New Roman"/>
        </w:rPr>
        <w:t>№</w:t>
      </w:r>
      <w:r>
        <w:rPr>
          <w:rFonts w:ascii="PT Astra Serif" w:hAnsi="PT Astra Serif"/>
        </w:rPr>
        <w:t xml:space="preserve"> 2</w:t>
      </w:r>
      <w:r>
        <w:rPr>
          <w:rFonts w:ascii="PT Astra Serif" w:eastAsia="Liberation Serif;Times New Roma" w:hAnsi="PT Astra Serif" w:cs="Liberation Serif;Times New R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</w:rPr>
        <w:t xml:space="preserve">к Программе </w:t>
      </w:r>
    </w:p>
    <w:p w:rsidR="006436A7" w:rsidRDefault="00112BEE">
      <w:pPr>
        <w:autoSpaceDE w:val="0"/>
        <w:ind w:firstLine="720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 xml:space="preserve">Система мероприятий муниципальной Программы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«Молодежь» муниципального образования «Тереньгульский район» </w:t>
      </w:r>
      <w:r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Ульяновской области». </w:t>
      </w:r>
    </w:p>
    <w:p w:rsidR="006436A7" w:rsidRDefault="00112BEE">
      <w:pPr>
        <w:pStyle w:val="Bodytext3"/>
        <w:shd w:val="clear" w:color="auto" w:fill="auto"/>
        <w:spacing w:before="0" w:after="0" w:line="322" w:lineRule="exact"/>
        <w:ind w:left="1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tbl>
      <w:tblPr>
        <w:tblW w:w="14907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134"/>
        <w:gridCol w:w="1304"/>
        <w:gridCol w:w="854"/>
        <w:gridCol w:w="859"/>
        <w:gridCol w:w="588"/>
        <w:gridCol w:w="680"/>
        <w:gridCol w:w="1736"/>
        <w:gridCol w:w="1876"/>
        <w:gridCol w:w="873"/>
        <w:gridCol w:w="912"/>
        <w:gridCol w:w="742"/>
        <w:gridCol w:w="897"/>
        <w:gridCol w:w="851"/>
        <w:gridCol w:w="1020"/>
      </w:tblGrid>
      <w:tr w:rsidR="006436A7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проекта,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основного мероприятия (мероприятия)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Срок реализации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Контрольное событие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2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Объем финансового обеспечения реализации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мероприятий по годам, тыс. руб.</w:t>
            </w:r>
          </w:p>
        </w:tc>
      </w:tr>
      <w:tr w:rsidR="006436A7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окончания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2027 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год</w:t>
            </w:r>
          </w:p>
        </w:tc>
      </w:tr>
      <w:tr w:rsidR="006436A7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</w:tr>
      <w:tr w:rsidR="006436A7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ind w:left="14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Формирование системы продвижения инициативной и талантливой молодёжи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a"/>
              <w:autoSpaceDE w:val="0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 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пециалист по вопросам молодежной политики  управления социального развития, спорта и охраны здоровья граждан администрации муниципального образования «Тереньгульс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кий район»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 молодых людей в возрасте от 14 до 30 лет,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участвующих в мероприятиях, фестивалях, конкурсах, проектах (целевое значение 5%)</w:t>
            </w:r>
          </w:p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- удельный вес численности молодых людей в возрасте от 14 до 30 лет, принимающих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>участие в волонтерской деятельности (целевое значение 3%)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lastRenderedPageBreak/>
              <w:t>Бюджет МО «Тереньгульский район»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88,0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79,0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79,0</w:t>
            </w:r>
          </w:p>
        </w:tc>
      </w:tr>
      <w:tr w:rsidR="006436A7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Решение социально-экономических проблем молодёжи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a"/>
              <w:autoSpaceDE w:val="0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Специалист по вопросам молодежной политики  управления социального развития, спорта и охраны здоровья граждан администрации муниципального образования «Тереньгульский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район»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 молодых людей в возрасте от 14 до 30 лет, участвующих в мероприятиях, фестивалях, конкурсах, проектах (целевое значение 5%)</w:t>
            </w:r>
          </w:p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- удельный вес численности молодых людей в возрасте от 14 до 30 лет, принимающих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участие в волонтерской деятельности (целевое значение 3%)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Бюджет МО «Тереньгульский район»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76,5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76,5</w:t>
            </w:r>
          </w:p>
        </w:tc>
      </w:tr>
      <w:tr w:rsidR="006436A7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Обеспечение эффективной социализации молодёжи,  находящей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>ся в трудной жизненной ситуации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a"/>
              <w:autoSpaceDE w:val="0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Специалист по вопросам молодежной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политики  управления социального развития, спорта и охраны </w:t>
            </w: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здоровья граждан администрации муниципального образования «Тереньгульский район»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- удельный вес численности молодых людей в возрасте от 14 до 30 лет, участвующих в мероприятиях,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фестивалях, конкурсах,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lastRenderedPageBreak/>
              <w:t>проектах (целевое значение 5%)</w:t>
            </w:r>
          </w:p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 молодых людей в возрасте от 14 до 30 лет, принимающих участие в волонтерской деятельности (целевое значение 3%)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lastRenderedPageBreak/>
              <w:t>Бюджет МО «Тереньгульский район»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42,0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6,0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6,0</w:t>
            </w:r>
          </w:p>
        </w:tc>
      </w:tr>
      <w:tr w:rsidR="006436A7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Формирование у молодёжи российской идентичности (россияне) и профилактика этнического и религиозно-политического экстремизма в молодёжной среде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a"/>
              <w:autoSpaceDE w:val="0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Специалист по вопросам молодежной политики  управления социального развития, спорта и охраны здоровья граждан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администрации муниципального образования «Тереньгульский район»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 молодых людей в возрасте от 14 до 30 лет, участвующих в мероприятиях, фестивалях, конкурсах, проектах (целевое значение 5%)</w:t>
            </w:r>
          </w:p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- удельный вес численности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молодых людей в возрасте от 14 до 30 лет, принимающих участие в волонтерской деятельности (целевое значение 3%)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</w:rPr>
              <w:t>Бюджет МО «Тереньгульский район»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95,0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32,5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32,5</w:t>
            </w:r>
          </w:p>
        </w:tc>
      </w:tr>
      <w:tr w:rsidR="006436A7">
        <w:tc>
          <w:tcPr>
            <w:tcW w:w="77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6436A7">
            <w:pPr>
              <w:autoSpaceDE w:val="0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zh-CN" w:bidi="hi-IN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both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Calibri" w:hAnsi="PT Astra Serif" w:cs="PT Astra Serif"/>
                <w:lang w:eastAsia="zh-CN" w:bidi="hi-IN"/>
              </w:rPr>
              <w:t xml:space="preserve">508,0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40,0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194,0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pStyle w:val="ConsPlusNormal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194,0</w:t>
            </w:r>
          </w:p>
        </w:tc>
      </w:tr>
    </w:tbl>
    <w:p w:rsidR="006436A7" w:rsidRDefault="00112BEE">
      <w:pPr>
        <w:autoSpaceDE w:val="0"/>
        <w:jc w:val="right"/>
        <w:rPr>
          <w:rFonts w:ascii="PT Astra Serif" w:hAnsi="PT Astra Serif" w:cs="PT Astra Serif;Times New Roman"/>
        </w:rPr>
      </w:pPr>
      <w:r>
        <w:rPr>
          <w:rFonts w:ascii="PT Astra Serif" w:hAnsi="PT Astra Serif" w:cs="PT Astra Serif;Times New Roman"/>
        </w:rPr>
        <w:lastRenderedPageBreak/>
        <w:t>Приложение № 3</w:t>
      </w:r>
    </w:p>
    <w:p w:rsidR="006436A7" w:rsidRDefault="00112BEE">
      <w:pPr>
        <w:pStyle w:val="6"/>
        <w:tabs>
          <w:tab w:val="left" w:pos="0"/>
        </w:tabs>
        <w:autoSpaceDE w:val="0"/>
        <w:spacing w:before="0" w:after="0" w:line="200" w:lineRule="atLeast"/>
        <w:jc w:val="both"/>
        <w:rPr>
          <w:rFonts w:ascii="PT Astra Serif" w:eastAsia="Times New Roman" w:hAnsi="PT Astra Serif" w:cs="PT Astra Serif"/>
          <w:b w:val="0"/>
          <w:bCs w:val="0"/>
          <w:sz w:val="24"/>
          <w:szCs w:val="24"/>
        </w:rPr>
      </w:pPr>
      <w:r>
        <w:rPr>
          <w:rFonts w:ascii="PT Astra Serif" w:eastAsia="PT Astra Serif;Times New Roman" w:hAnsi="PT Astra Serif" w:cs="PT Astra Serif;Times New Roman"/>
          <w:b w:val="0"/>
          <w:bCs w:val="0"/>
          <w:color w:val="242424"/>
          <w:sz w:val="24"/>
          <w:szCs w:val="24"/>
        </w:rPr>
        <w:t xml:space="preserve"> </w:t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ab/>
      </w:r>
      <w:r>
        <w:rPr>
          <w:rFonts w:ascii="PT Astra Serif" w:eastAsia="Times New Roman" w:hAnsi="PT Astra Serif" w:cs="PT Astra Serif;Times New Roman"/>
          <w:b w:val="0"/>
          <w:bCs w:val="0"/>
          <w:color w:val="242424"/>
          <w:sz w:val="24"/>
          <w:szCs w:val="24"/>
        </w:rPr>
        <w:t xml:space="preserve">                          к Программе </w:t>
      </w:r>
    </w:p>
    <w:p w:rsidR="006436A7" w:rsidRDefault="006436A7">
      <w:pPr>
        <w:pStyle w:val="ConsPlusNormal"/>
        <w:ind w:firstLine="540"/>
        <w:jc w:val="both"/>
        <w:rPr>
          <w:rFonts w:ascii="PT Astra Serif" w:hAnsi="PT Astra Serif" w:cs="PT Astra Serif"/>
        </w:rPr>
      </w:pPr>
    </w:p>
    <w:p w:rsidR="006436A7" w:rsidRDefault="00112BEE">
      <w:pPr>
        <w:autoSpaceDE w:val="0"/>
        <w:snapToGrid w:val="0"/>
        <w:spacing w:line="200" w:lineRule="atLeast"/>
        <w:ind w:left="-624"/>
        <w:jc w:val="center"/>
        <w:rPr>
          <w:rFonts w:ascii="PT Astra Serif" w:hAnsi="PT Astra Serif"/>
        </w:rPr>
      </w:pPr>
      <w:r>
        <w:rPr>
          <w:rFonts w:ascii="PT Astra Serif" w:eastAsia="PT Astra Serif;Times New Roman" w:hAnsi="PT Astra Serif" w:cs="PT Astra Serif;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PT Astra Serif" w:eastAsia="Calibri" w:hAnsi="PT Astra Serif" w:cs="PT Astra Serif;Times New Roman"/>
          <w:b/>
          <w:bCs/>
          <w:color w:val="000000"/>
          <w:sz w:val="28"/>
          <w:szCs w:val="28"/>
          <w:lang w:eastAsia="hi-IN" w:bidi="hi-IN"/>
        </w:rPr>
        <w:t xml:space="preserve">Перечень показателей, характеризующих ожидаемые результаты реализации муниципальной программы </w:t>
      </w:r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  <w:lang w:eastAsia="hi-IN" w:bidi="hi-IN"/>
        </w:rPr>
        <w:t xml:space="preserve">«Молодежь» </w:t>
      </w:r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  <w:lang w:eastAsia="hi-IN" w:bidi="hi-IN"/>
        </w:rPr>
        <w:t>муниципального образования</w:t>
      </w:r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  <w:lang w:eastAsia="hi-IN" w:bidi="hi-IN"/>
        </w:rPr>
        <w:t xml:space="preserve"> «Тереньгульский район» Ульяновской области».                         </w:t>
      </w:r>
    </w:p>
    <w:p w:rsidR="006436A7" w:rsidRDefault="00112BEE">
      <w:pPr>
        <w:pStyle w:val="4"/>
        <w:tabs>
          <w:tab w:val="left" w:pos="0"/>
        </w:tabs>
        <w:autoSpaceDE w:val="0"/>
        <w:spacing w:before="0" w:after="0" w:line="200" w:lineRule="atLeast"/>
        <w:jc w:val="center"/>
        <w:rPr>
          <w:rFonts w:ascii="PT Astra Serif" w:eastAsia="Times New Roman" w:hAnsi="PT Astra Serif" w:cs="Times New Roman"/>
          <w:color w:val="242424"/>
          <w:sz w:val="28"/>
          <w:szCs w:val="28"/>
        </w:rPr>
      </w:pPr>
      <w:r>
        <w:rPr>
          <w:rFonts w:ascii="PT Astra Serif" w:eastAsia="Times New Roman" w:hAnsi="PT Astra Serif" w:cs="Times New Roman"/>
          <w:color w:val="242424"/>
          <w:sz w:val="28"/>
          <w:szCs w:val="28"/>
        </w:rPr>
        <w:t xml:space="preserve"> </w:t>
      </w:r>
    </w:p>
    <w:tbl>
      <w:tblPr>
        <w:tblW w:w="14722" w:type="dxa"/>
        <w:tblInd w:w="-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4114"/>
        <w:gridCol w:w="3340"/>
        <w:gridCol w:w="1361"/>
        <w:gridCol w:w="1593"/>
        <w:gridCol w:w="1252"/>
        <w:gridCol w:w="1407"/>
        <w:gridCol w:w="1176"/>
      </w:tblGrid>
      <w:tr w:rsidR="006436A7">
        <w:trPr>
          <w:trHeight w:val="8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N </w:t>
            </w:r>
            <w:proofErr w:type="gramStart"/>
            <w:r>
              <w:rPr>
                <w:rFonts w:ascii="PT Astra Serif" w:hAnsi="PT Astra Serif" w:cs="PT Astra Serif;Times New Roman"/>
              </w:rPr>
              <w:t>п</w:t>
            </w:r>
            <w:proofErr w:type="gramEnd"/>
            <w:r>
              <w:rPr>
                <w:rFonts w:ascii="PT Astra Serif" w:hAnsi="PT Astra Serif" w:cs="PT Astra Serif;Times New Roman"/>
              </w:rPr>
              <w:t>/п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Наименование показателя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Единица измерения</w:t>
            </w:r>
          </w:p>
        </w:tc>
        <w:tc>
          <w:tcPr>
            <w:tcW w:w="67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Значения показателей по годам</w:t>
            </w:r>
          </w:p>
        </w:tc>
      </w:tr>
      <w:tr w:rsidR="006436A7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2024 год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2025год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2026 год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2027год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2028 год</w:t>
            </w:r>
          </w:p>
        </w:tc>
      </w:tr>
      <w:tr w:rsidR="006436A7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36A7" w:rsidRDefault="00112BEE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8</w:t>
            </w:r>
          </w:p>
        </w:tc>
      </w:tr>
      <w:tr w:rsidR="006436A7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b"/>
              <w:snapToGrid w:val="0"/>
              <w:jc w:val="both"/>
              <w:rPr>
                <w:rFonts w:ascii="PT Astra Serif" w:eastAsia="Calibri" w:hAnsi="PT Astra Serif" w:cs="PT Astra Serif"/>
                <w:color w:val="000000"/>
              </w:rPr>
            </w:pPr>
            <w:r>
              <w:rPr>
                <w:rFonts w:ascii="PT Astra Serif" w:eastAsia="Calibri" w:hAnsi="PT Astra Serif" w:cs="PT Astra Serif"/>
                <w:color w:val="000000"/>
              </w:rPr>
              <w:t xml:space="preserve"> численность молодых людей в возрасте от 14 до 30 лет, участвующих в мероприятиях, фестивалях, конкурсах, проектах;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процент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lang w:eastAsia="zh-CN" w:bidi="hi-IN"/>
              </w:rPr>
              <w:t>5,5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a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</w:tr>
      <w:tr w:rsidR="006436A7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6436A7">
            <w:pPr>
              <w:pStyle w:val="ConsPlusNormal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b"/>
              <w:snapToGrid w:val="0"/>
              <w:ind w:firstLine="283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r>
              <w:rPr>
                <w:rFonts w:ascii="PT Astra Serif" w:eastAsia="Calibri" w:hAnsi="PT Astra Serif" w:cs="Times New Roman"/>
                <w:color w:val="000000"/>
              </w:rPr>
              <w:t>численность молодых людей в возрасте от 14 до 30 лет, принимающих участие в волонтерской деятельности.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lang w:eastAsia="zh-CN" w:bidi="hi-IN"/>
              </w:rPr>
              <w:t>процент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eastAsia="Calibri" w:hAnsi="PT Astra Serif" w:cs="Lucida Sans"/>
                <w:lang w:eastAsia="zh-CN" w:bidi="hi-IN"/>
              </w:rPr>
            </w:pPr>
            <w:r>
              <w:rPr>
                <w:rFonts w:ascii="PT Astra Serif" w:eastAsia="Calibri" w:hAnsi="PT Astra Serif" w:cs="Lucida Sans"/>
                <w:lang w:eastAsia="zh-CN" w:bidi="hi-IN"/>
              </w:rPr>
              <w:t>3,5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pStyle w:val="aa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6A7" w:rsidRDefault="00112BEE">
            <w:pPr>
              <w:autoSpaceDE w:val="0"/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5,5</w:t>
            </w:r>
          </w:p>
        </w:tc>
      </w:tr>
    </w:tbl>
    <w:p w:rsidR="006436A7" w:rsidRDefault="006436A7">
      <w:pPr>
        <w:autoSpaceDE w:val="0"/>
        <w:snapToGrid w:val="0"/>
        <w:spacing w:line="200" w:lineRule="atLeast"/>
        <w:ind w:firstLine="675"/>
        <w:jc w:val="center"/>
        <w:rPr>
          <w:rFonts w:ascii="PT Astra Serif" w:eastAsia="Times New Roman" w:hAnsi="PT Astra Serif" w:cs="PT Astra Serif"/>
          <w:sz w:val="28"/>
          <w:szCs w:val="28"/>
        </w:rPr>
      </w:pPr>
    </w:p>
    <w:sectPr w:rsidR="006436A7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1693" w:right="1134" w:bottom="1134" w:left="1134" w:header="1134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EE" w:rsidRDefault="00112BEE">
      <w:r>
        <w:separator/>
      </w:r>
    </w:p>
  </w:endnote>
  <w:endnote w:type="continuationSeparator" w:id="0">
    <w:p w:rsidR="00112BEE" w:rsidRDefault="0011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6436A7">
    <w:pPr>
      <w:pStyle w:val="af"/>
      <w:rPr>
        <w:rFonts w:ascii="PT Astra Serif" w:hAnsi="PT Astra Serif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6436A7">
    <w:pPr>
      <w:pStyle w:val="af"/>
      <w:rPr>
        <w:rFonts w:ascii="PT Astra Serif" w:hAnsi="PT Astra Serif"/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112BEE">
    <w:pPr>
      <w:pStyle w:val="af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0571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6436A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6436A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6436A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6436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EE" w:rsidRDefault="00112BEE">
      <w:r>
        <w:separator/>
      </w:r>
    </w:p>
  </w:footnote>
  <w:footnote w:type="continuationSeparator" w:id="0">
    <w:p w:rsidR="00112BEE" w:rsidRDefault="0011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6436A7">
    <w:pPr>
      <w:autoSpaceDE w:val="0"/>
      <w:jc w:val="right"/>
      <w:rPr>
        <w:rFonts w:ascii="PT Astra Serif;Times New Roman" w:hAnsi="PT Astra Serif;Times New Roman" w:cs="PT Astra Serif;Times New Roman"/>
        <w:color w:val="242424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A7" w:rsidRDefault="006436A7">
    <w:pPr>
      <w:autoSpaceDE w:val="0"/>
      <w:jc w:val="right"/>
      <w:rPr>
        <w:rFonts w:ascii="PT Astra Serif;Times New Roman" w:hAnsi="PT Astra Serif;Times New Roman" w:cs="PT Astra Serif;Times New Roman"/>
        <w:color w:val="242424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B137C"/>
    <w:multiLevelType w:val="multilevel"/>
    <w:tmpl w:val="5652E5B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36A7"/>
    <w:rsid w:val="00112BEE"/>
    <w:rsid w:val="006436A7"/>
    <w:rsid w:val="00C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eastAsia="Times New Roman" w:cs="Times New Roman"/>
      <w:sz w:val="28"/>
      <w:szCs w:val="28"/>
    </w:rPr>
  </w:style>
  <w:style w:type="paragraph" w:styleId="a6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  <w:rPr>
      <w:rFonts w:eastAsia="Times New Roman" w:cs="Times New Roman"/>
    </w:rPr>
  </w:style>
  <w:style w:type="paragraph" w:customStyle="1" w:styleId="Bodytext3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hAnsi="Arial" w:cs="Arial"/>
    </w:rPr>
  </w:style>
  <w:style w:type="paragraph" w:customStyle="1" w:styleId="ac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eastAsia="zh-CN" w:bidi="hi-IN"/>
    </w:rPr>
  </w:style>
  <w:style w:type="paragraph" w:styleId="af">
    <w:name w:val="footer"/>
    <w:basedOn w:val="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eastAsia="Times New Roman" w:cs="Times New Roman"/>
      <w:sz w:val="28"/>
      <w:szCs w:val="28"/>
    </w:rPr>
  </w:style>
  <w:style w:type="paragraph" w:styleId="a6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  <w:rPr>
      <w:rFonts w:eastAsia="Times New Roman" w:cs="Times New Roman"/>
    </w:rPr>
  </w:style>
  <w:style w:type="paragraph" w:customStyle="1" w:styleId="Bodytext3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hAnsi="Arial" w:cs="Arial"/>
    </w:rPr>
  </w:style>
  <w:style w:type="paragraph" w:customStyle="1" w:styleId="ac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eastAsia="zh-CN" w:bidi="hi-IN"/>
    </w:rPr>
  </w:style>
  <w:style w:type="paragraph" w:styleId="af">
    <w:name w:val="footer"/>
    <w:basedOn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2023-12-08T09:34:00Z</cp:lastPrinted>
  <dcterms:created xsi:type="dcterms:W3CDTF">2023-12-27T07:40:00Z</dcterms:created>
  <dcterms:modified xsi:type="dcterms:W3CDTF">2023-12-27T07:40:00Z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