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smallCaps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 xml:space="preserve">АДМИНИСТРАЦИЯ МУНИЦИПАЛЬНОГО ОБРАЗОВАНИЯ </w:t>
      </w:r>
    </w:p>
    <w:p>
      <w:pPr>
        <w:pStyle w:val="Normal"/>
        <w:jc w:val="center"/>
        <w:rPr>
          <w:rFonts w:ascii="PT Astra Serif" w:hAnsi="PT Astra Serif"/>
          <w:smallCaps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 xml:space="preserve">«ТЕРЕНЬГУЛЬСКИЙ РАЙОН» </w:t>
      </w:r>
    </w:p>
    <w:p>
      <w:pPr>
        <w:pStyle w:val="Normal"/>
        <w:jc w:val="center"/>
        <w:rPr>
          <w:rFonts w:ascii="PT Astra Serif" w:hAnsi="PT Astra Serif"/>
          <w:smallCaps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  <w:szCs w:val="28"/>
        </w:rPr>
      </w:pPr>
      <w:r>
        <w:rPr>
          <w:rFonts w:ascii="PT Astra Serif" w:hAnsi="PT Astra Serif"/>
          <w:b/>
          <w:smallCaps/>
          <w:sz w:val="4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  <w:szCs w:val="28"/>
        </w:rPr>
      </w:pPr>
      <w:r>
        <w:rPr>
          <w:rFonts w:ascii="PT Astra Serif" w:hAnsi="PT Astra Serif"/>
          <w:b/>
          <w:smallCaps/>
          <w:sz w:val="4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  <w:szCs w:val="28"/>
        </w:rPr>
      </w:pPr>
      <w:r>
        <w:rPr>
          <w:rFonts w:ascii="PT Astra Serif" w:hAnsi="PT Astra Serif"/>
          <w:b/>
          <w:smallCaps/>
          <w:sz w:val="4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/>
          <w:b/>
          <w:b/>
          <w:spacing w:val="144"/>
          <w:sz w:val="36"/>
          <w:szCs w:val="36"/>
        </w:rPr>
      </w:pPr>
      <w:r>
        <w:rPr>
          <w:rFonts w:ascii="PT Astra Serif" w:hAnsi="PT Astra Serif"/>
          <w:b/>
          <w:spacing w:val="144"/>
          <w:sz w:val="36"/>
          <w:szCs w:val="36"/>
        </w:rPr>
      </w:r>
    </w:p>
    <w:p>
      <w:pPr>
        <w:pStyle w:val="Normal"/>
        <w:rPr/>
      </w:pPr>
      <w:r>
        <w:rPr>
          <w:rFonts w:ascii="PT Astra Serif" w:hAnsi="PT Astra Serif"/>
          <w:color w:val="000000"/>
          <w:sz w:val="28"/>
          <w:szCs w:val="28"/>
        </w:rPr>
        <w:t xml:space="preserve">27 июля </w:t>
      </w:r>
      <w:r>
        <w:rPr>
          <w:rFonts w:ascii="PT Astra Serif" w:hAnsi="PT Astra Serif"/>
          <w:color w:val="000000"/>
          <w:sz w:val="28"/>
          <w:szCs w:val="28"/>
        </w:rPr>
        <w:t>2022 г.</w:t>
        <w:tab/>
      </w: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 xml:space="preserve">             </w:t>
      </w:r>
      <w:r>
        <w:rPr>
          <w:rFonts w:ascii="PT Astra Serif" w:hAnsi="PT Astra Serif"/>
          <w:color w:val="000000"/>
          <w:sz w:val="28"/>
          <w:szCs w:val="28"/>
        </w:rPr>
        <w:t>№</w:t>
      </w:r>
      <w:r>
        <w:rPr>
          <w:rFonts w:ascii="PT Astra Serif" w:hAnsi="PT Astra Serif"/>
          <w:color w:val="000000"/>
          <w:sz w:val="28"/>
          <w:szCs w:val="28"/>
        </w:rPr>
        <w:t>384</w:t>
      </w:r>
    </w:p>
    <w:p>
      <w:pPr>
        <w:pStyle w:val="Normal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rPr/>
      </w:pPr>
      <w:r>
        <w:rPr>
          <w:rFonts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                 </w:t>
        <w:tab/>
      </w:r>
      <w:r>
        <w:rPr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64"/>
      </w:tblGrid>
      <w:tr>
        <w:trPr/>
        <w:tc>
          <w:tcPr>
            <w:tcW w:w="946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 внесении изменений в постановление администрации муниципального образования «Тереньгульский район» от 28 января 2022 года № 27</w:t>
            </w:r>
          </w:p>
        </w:tc>
      </w:tr>
    </w:tbl>
    <w:p>
      <w:pPr>
        <w:pStyle w:val="Normal"/>
        <w:ind w:left="0" w:right="-1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-1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-1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Администрация муниципального образования «Тереньгульский район»     п о с т а н о в л я е т:</w:t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 Внести в постановление администрации муниципального образования «Тереньгульский район» от 28 января 2022 года № 27 «Об утверждении муниципальной программы «Энергосбережение и повышение энергетической эффективности на территории муниципального образования «Тереньгульский район» следующие изменения:</w:t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1.1. Раздел «Ресурсное обеспечение муниципальной программы с разбивкой по этапам и годам реализации» паспорта муниципальной программы изложить в следующей редакции:</w:t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«Всего  4427,30177 т.р., в том числе по годам:</w:t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2022 год – 369,30177 тыс.руб.</w:t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2023 год – 70,00 тыс.руб.</w:t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2024 год – 70,00  тыс.руб.</w:t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2025 год – 3425,00 тыс.руб.</w:t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2026 год - 493,00 тыс.руб».</w:t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1.2. Приложение № 2 к муниципальной программе изложить в следующей редакции:</w:t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sectPr>
          <w:footerReference w:type="default" r:id="rId2"/>
          <w:type w:val="nextPage"/>
          <w:pgSz w:w="11906" w:h="16838"/>
          <w:pgMar w:left="1701" w:right="737" w:gutter="0" w:header="0" w:top="1134" w:footer="1134" w:bottom="1191"/>
          <w:pgNumType w:fmt="decimal"/>
          <w:formProt w:val="false"/>
          <w:textDirection w:val="lrTb"/>
          <w:docGrid w:type="default" w:linePitch="100" w:charSpace="8192"/>
        </w:sect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right"/>
        <w:rPr>
          <w:rFonts w:ascii="PT Astra Serif;Times New Roman" w:hAnsi="PT Astra Serif;Times New Roman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«Приложение № 2</w:t>
      </w:r>
    </w:p>
    <w:p>
      <w:pPr>
        <w:pStyle w:val="Normal"/>
        <w:jc w:val="right"/>
        <w:rPr>
          <w:rFonts w:ascii="PT Astra Serif;Times New Roman" w:hAnsi="PT Astra Serif;Times New Roman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к муниципальной программе </w:t>
      </w:r>
    </w:p>
    <w:p>
      <w:pPr>
        <w:pStyle w:val="ConsPlusNormal"/>
        <w:widowControl/>
        <w:jc w:val="right"/>
        <w:rPr>
          <w:rFonts w:ascii="PT Astra Serif;Times New Roman" w:hAnsi="PT Astra Serif;Times New Roman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«Энергосбережение и повышение</w:t>
      </w:r>
    </w:p>
    <w:p>
      <w:pPr>
        <w:pStyle w:val="ConsPlusNormal"/>
        <w:widowControl/>
        <w:jc w:val="right"/>
        <w:rPr>
          <w:rFonts w:ascii="PT Astra Serif;Times New Roman" w:hAnsi="PT Astra Serif;Times New Roman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энергетической эффективности на</w:t>
      </w:r>
    </w:p>
    <w:p>
      <w:pPr>
        <w:pStyle w:val="ConsPlusNormal"/>
        <w:widowControl/>
        <w:jc w:val="right"/>
        <w:rPr>
          <w:rFonts w:ascii="PT Astra Serif;Times New Roman" w:hAnsi="PT Astra Serif;Times New Roman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территории муниципального образования</w:t>
      </w:r>
    </w:p>
    <w:p>
      <w:pPr>
        <w:pStyle w:val="ConsPlusNormal"/>
        <w:widowControl/>
        <w:jc w:val="right"/>
        <w:rPr>
          <w:rFonts w:ascii="PT Astra Serif;Times New Roman" w:hAnsi="PT Astra Serif;Times New Roman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«Тереньгульский район»</w:t>
      </w:r>
    </w:p>
    <w:p>
      <w:pPr>
        <w:pStyle w:val="ConsPlusNormal"/>
        <w:widowControl/>
        <w:jc w:val="right"/>
        <w:rPr>
          <w:rFonts w:ascii="PT Astra Serif;Times New Roman" w:hAnsi="PT Astra Serif;Times New Roman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</w:r>
    </w:p>
    <w:p>
      <w:pPr>
        <w:pStyle w:val="ConsPlusNormal"/>
        <w:widowControl/>
        <w:jc w:val="left"/>
        <w:rPr>
          <w:rFonts w:ascii="PT Astra Serif;Times New Roman" w:hAnsi="PT Astra Serif;Times New Roman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</w:r>
    </w:p>
    <w:p>
      <w:pPr>
        <w:pStyle w:val="ConsPlusNormal"/>
        <w:widowControl/>
        <w:jc w:val="center"/>
        <w:rPr>
          <w:rFonts w:ascii="PT Astra Serif;Times New Roman" w:hAnsi="PT Astra Serif;Times New Roman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 xml:space="preserve">Программные мероприятия муниципальной программы </w:t>
      </w:r>
    </w:p>
    <w:p>
      <w:pPr>
        <w:pStyle w:val="ConsPlusNormal"/>
        <w:jc w:val="center"/>
        <w:rPr>
          <w:rFonts w:ascii="PT Astra Serif;Times New Roman" w:hAnsi="PT Astra Serif;Times New Roman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>«Энергосбережение и повышение энергетической эффективности на</w:t>
      </w:r>
    </w:p>
    <w:p>
      <w:pPr>
        <w:pStyle w:val="ConsPlusNormal"/>
        <w:jc w:val="center"/>
        <w:rPr>
          <w:rFonts w:ascii="PT Astra Serif;Times New Roman" w:hAnsi="PT Astra Serif;Times New Roman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 xml:space="preserve"> </w:t>
      </w: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  <w:t>территории муниципального образования «Тереньгульский район»</w:t>
      </w:r>
    </w:p>
    <w:p>
      <w:pPr>
        <w:pStyle w:val="ConsPlusNormal"/>
        <w:widowControl/>
        <w:jc w:val="both"/>
        <w:rPr>
          <w:rFonts w:ascii="PT Astra Serif;Times New Roman" w:hAnsi="PT Astra Serif;Times New Roman" w:eastAsia="PT Astra Serif;Times New Roman" w:cs="PT Astra Serif;Times New Roman"/>
          <w:sz w:val="28"/>
          <w:szCs w:val="28"/>
        </w:rPr>
      </w:pPr>
      <w:r>
        <w:rPr>
          <w:rFonts w:eastAsia="PT Astra Serif;Times New Roman" w:cs="PT Astra Serif;Times New Roman" w:ascii="PT Astra Serif;Times New Roman" w:hAnsi="PT Astra Serif;Times New Roman"/>
          <w:sz w:val="28"/>
          <w:szCs w:val="28"/>
        </w:rPr>
      </w:r>
    </w:p>
    <w:tbl>
      <w:tblPr>
        <w:tblW w:w="14349" w:type="dxa"/>
        <w:jc w:val="left"/>
        <w:tblInd w:w="-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1"/>
        <w:gridCol w:w="1178"/>
        <w:gridCol w:w="1260"/>
        <w:gridCol w:w="852"/>
        <w:gridCol w:w="861"/>
        <w:gridCol w:w="1102"/>
        <w:gridCol w:w="970"/>
        <w:gridCol w:w="1528"/>
        <w:gridCol w:w="1418"/>
        <w:gridCol w:w="736"/>
        <w:gridCol w:w="680"/>
        <w:gridCol w:w="792"/>
        <w:gridCol w:w="792"/>
        <w:gridCol w:w="805"/>
        <w:gridCol w:w="794"/>
      </w:tblGrid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N п/п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Наименование проекта, основного мероприятия (мероприятия)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1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Контрольное событие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Дата наступления контрольного события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45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начала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окончания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всего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 год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2023 год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2024 год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2025 год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2026 год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7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11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12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13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1.</w:t>
            </w:r>
          </w:p>
        </w:tc>
        <w:tc>
          <w:tcPr>
            <w:tcW w:w="117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Приведение в соответствие нормам узлов учета газа в бюджетных организациях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 xml:space="preserve"> </w:t>
            </w:r>
            <w:r>
              <w:rPr>
                <w:rFonts w:cs="PT Astra Serif" w:ascii="PT Astra Serif" w:hAnsi="PT Astra Serif"/>
                <w:sz w:val="20"/>
                <w:szCs w:val="20"/>
              </w:rPr>
              <w:t>МУ Отдел по делам культуры и организации досуга населения муниципального образования «Тереньгульский район» ( по согласованию),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МУ Отдел образования муниципального образования «Тереньгульский район», ( по согласованию)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достижение целевых индикаторов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2026 г.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соответствии с нормативными документами, в общем объеме природного газа, потребляемого (используемого) на территории муниципального образования организациями бюджетной сферы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1510,0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0,0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0,0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0,0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1510,0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</w:tr>
      <w:tr>
        <w:trPr/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78" w:type="dxa"/>
            <w:vMerge w:val="continue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бюджетные ассигнования  бюджета МО «Тереньгульский район»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1510,0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0,0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1510,0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Замена ламп накаливания на энергосберегающие в зданиях и учреждениях МО «Тереньгульский район»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МУ Отдел по делам культуры и организации досуга населения муниципального образования «Тереньгульский район» ( по согласованию),</w:t>
            </w:r>
          </w:p>
          <w:p>
            <w:pPr>
              <w:pStyle w:val="ConsPlusNormal"/>
              <w:widowControl w:val="false"/>
              <w:snapToGrid w:val="false"/>
              <w:rPr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МУ Отдел образования муниципального образования «Тереньгульский район», ( по согласованию)</w:t>
            </w: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 xml:space="preserve">, </w:t>
            </w:r>
            <w:r>
              <w:rPr>
                <w:rFonts w:cs="PT Astra Serif" w:ascii="PT Astra Serif" w:hAnsi="PT Astra Serif"/>
                <w:sz w:val="20"/>
                <w:szCs w:val="20"/>
              </w:rPr>
              <w:t>МУ «Техническое обслуживание» ( по согласованию)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достижение целевых индикаторов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2026 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738,0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400,0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100,0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100,0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38,0</w:t>
            </w:r>
          </w:p>
        </w:tc>
      </w:tr>
      <w:tr>
        <w:trPr>
          <w:trHeight w:val="240" w:hRule="atLeast"/>
        </w:trPr>
        <w:tc>
          <w:tcPr>
            <w:tcW w:w="581" w:type="dxa"/>
            <w:vMerge w:val="continue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бюджетные ассигнования  бюджета МО «Тереньгульский район»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738,0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26,0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474,0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238,0</w:t>
            </w:r>
          </w:p>
        </w:tc>
      </w:tr>
      <w:tr>
        <w:trPr/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3.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деревянных окон на энергоэффективные, в административных зданиях и зданиях бюджетных организаций МО «Тереньгульский район»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МУ Отдел по делам культуры и организации досуга населения муниципального образования «Тереньгульский район» ( по согласованию),</w:t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МУ Отдел образования муниципального образования «Тереньгульский район», ( по согласованию)</w:t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</w:rPr>
              <w:t>МУ «Техническое обслуживание»</w:t>
            </w:r>
            <w:r>
              <w:rPr>
                <w:rFonts w:cs="PT Astra Serif;Times New Roman" w:ascii="PT Astra Serif" w:hAnsi="PT Astra Serif"/>
              </w:rPr>
              <w:t xml:space="preserve"> ( по согласованию)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достижение целевых индикаторов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2026 г.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750,0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135,0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70,0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44,0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396,0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150,0</w:t>
            </w:r>
          </w:p>
        </w:tc>
      </w:tr>
      <w:tr>
        <w:trPr/>
        <w:tc>
          <w:tcPr>
            <w:tcW w:w="58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0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ассигнования  бюджета МО «Тереньгульский район»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750,0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135,0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70,0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44,0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396,0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150,0</w:t>
            </w:r>
          </w:p>
        </w:tc>
      </w:tr>
      <w:tr>
        <w:trPr/>
        <w:tc>
          <w:tcPr>
            <w:tcW w:w="581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4.</w:t>
            </w:r>
          </w:p>
        </w:tc>
        <w:tc>
          <w:tcPr>
            <w:tcW w:w="1178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Установка узлов учета тепла</w:t>
            </w:r>
          </w:p>
        </w:tc>
        <w:tc>
          <w:tcPr>
            <w:tcW w:w="1260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МУ Отдел образования муниципального образования «Тереньгульский район» ( по согласованию)</w:t>
            </w:r>
          </w:p>
        </w:tc>
        <w:tc>
          <w:tcPr>
            <w:tcW w:w="852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</w:t>
            </w:r>
          </w:p>
        </w:tc>
        <w:tc>
          <w:tcPr>
            <w:tcW w:w="861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</w:t>
            </w:r>
          </w:p>
        </w:tc>
        <w:tc>
          <w:tcPr>
            <w:tcW w:w="1102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достижение целевых индикаторов</w:t>
            </w:r>
          </w:p>
        </w:tc>
        <w:tc>
          <w:tcPr>
            <w:tcW w:w="970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 г.</w:t>
            </w:r>
          </w:p>
        </w:tc>
        <w:tc>
          <w:tcPr>
            <w:tcW w:w="1528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удельный расход энергетических ресурсов в организациях, финансируемых за счет средств бюджета муниципального образования «Тереньгульский район»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400,0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400,0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</w:tr>
      <w:tr>
        <w:trPr/>
        <w:tc>
          <w:tcPr>
            <w:tcW w:w="581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8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2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1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2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0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ассигнования  бюджета МО «Тереньгульский район»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400,0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400,0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</w:tr>
      <w:tr>
        <w:trPr/>
        <w:tc>
          <w:tcPr>
            <w:tcW w:w="58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5.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Замена сетевых насосов в котельных на энергосберегающие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МУ Отдел образования муниципального образования «Тереньгульский район» ( по согласованию)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2026</w:t>
            </w:r>
          </w:p>
        </w:tc>
        <w:tc>
          <w:tcPr>
            <w:tcW w:w="110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достижение целевых индикаторов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2026 г.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удельный расход энергетических ресурсов в организациях, финансируемых за счет средств бюджета муниципального образования «Тереньгульский район»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750,0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645,0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105,0</w:t>
            </w:r>
          </w:p>
        </w:tc>
      </w:tr>
      <w:tr>
        <w:trPr/>
        <w:tc>
          <w:tcPr>
            <w:tcW w:w="581" w:type="dxa"/>
            <w:vMerge w:val="restart"/>
            <w:tcBorders>
              <w:left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02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ассигнования  бюджета МО «Тереньгульский район»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</w:rPr>
              <w:t>750,0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645,0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000000"/>
              </w:rPr>
              <w:t>105,0</w:t>
            </w:r>
          </w:p>
        </w:tc>
      </w:tr>
      <w:tr>
        <w:trPr>
          <w:trHeight w:val="353" w:hRule="atLeast"/>
        </w:trPr>
        <w:tc>
          <w:tcPr>
            <w:tcW w:w="58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Организация наружного освещения населенных пунктов МО «Тереньгульский район»: с.Большая Борла, с.Алешкино, с.Еремкино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Управление ТЭР, ЖКХ администрации муниципального образования «Тереньгульский район»,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достижение целевых индикаторов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31.12.</w:t>
            </w:r>
          </w:p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2022 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234,30177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234,30177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58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ассигнования  бюджета МО «Тереньгульский район»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7,2905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7,2905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0,0</w:t>
            </w:r>
          </w:p>
        </w:tc>
      </w:tr>
      <w:tr>
        <w:trPr>
          <w:trHeight w:val="1039" w:hRule="atLeast"/>
        </w:trPr>
        <w:tc>
          <w:tcPr>
            <w:tcW w:w="58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бюджетные ассигнования областного бюджета Ульяновской области   ( софинансирование)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227,27272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227,27272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0,0</w:t>
            </w:r>
          </w:p>
        </w:tc>
      </w:tr>
      <w:tr>
        <w:trPr>
          <w:trHeight w:val="770" w:hRule="atLeast"/>
        </w:trPr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sz w:val="20"/>
                <w:szCs w:val="20"/>
              </w:rPr>
              <w:t>ИТОГО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4427,30177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369,30177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70,00000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70,00000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3425,00000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493,00000</w:t>
            </w:r>
          </w:p>
        </w:tc>
      </w:tr>
    </w:tbl>
    <w:p>
      <w:pPr>
        <w:pStyle w:val="Normal"/>
        <w:ind w:left="0" w:right="-1" w:hanging="0"/>
        <w:jc w:val="both"/>
        <w:rPr/>
      </w:pPr>
      <w:r>
        <w:rPr>
          <w:rFonts w:ascii="PT Astra Serif" w:hAnsi="PT Astra Serif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PT Astra Serif" w:hAnsi="PT Astra Serif"/>
          <w:sz w:val="28"/>
          <w:szCs w:val="28"/>
        </w:rPr>
        <w:t>»</w:t>
      </w:r>
    </w:p>
    <w:p>
      <w:pPr>
        <w:pStyle w:val="Normal"/>
        <w:ind w:left="0" w:right="-1"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3.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" w:hAnsi="PT Astra Serif"/>
          <w:sz w:val="28"/>
          <w:szCs w:val="28"/>
          <w:shd w:fill="FFFF00" w:val="clear"/>
        </w:rPr>
      </w:pPr>
      <w:r>
        <w:rPr>
          <w:rFonts w:ascii="PT Astra Serif" w:hAnsi="PT Astra Serif"/>
          <w:sz w:val="28"/>
          <w:szCs w:val="28"/>
          <w:shd w:fill="FFFF00" w:val="clear"/>
        </w:rPr>
      </w:r>
    </w:p>
    <w:p>
      <w:pPr>
        <w:pStyle w:val="Normal"/>
        <w:tabs>
          <w:tab w:val="clear" w:pos="571"/>
          <w:tab w:val="left" w:pos="9639" w:leader="none"/>
          <w:tab w:val="left" w:pos="9923" w:leader="none"/>
        </w:tabs>
        <w:spacing w:lineRule="auto" w:line="204"/>
        <w:ind w:left="0" w:right="54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571"/>
          <w:tab w:val="left" w:pos="9639" w:leader="none"/>
          <w:tab w:val="left" w:pos="9923" w:leader="none"/>
        </w:tabs>
        <w:spacing w:lineRule="auto" w:line="204"/>
        <w:ind w:left="0" w:right="54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571"/>
          <w:tab w:val="left" w:pos="9639" w:leader="none"/>
          <w:tab w:val="left" w:pos="9923" w:leader="none"/>
        </w:tabs>
        <w:ind w:left="0" w:right="54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Normal"/>
        <w:tabs>
          <w:tab w:val="clear" w:pos="571"/>
          <w:tab w:val="left" w:pos="9639" w:leader="none"/>
          <w:tab w:val="left" w:pos="9923" w:leader="none"/>
        </w:tabs>
        <w:ind w:left="0" w:right="54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                         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</w:t>
        <w:tab/>
        <w:tab/>
        <w:t xml:space="preserve">                                                    Г.А. Шерстнев</w:t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-1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 </w:t>
      </w:r>
    </w:p>
    <w:sectPr>
      <w:headerReference w:type="default" r:id="rId3"/>
      <w:headerReference w:type="first" r:id="rId4"/>
      <w:footerReference w:type="default" r:id="rId5"/>
      <w:type w:val="nextPage"/>
      <w:pgSz w:orient="landscape" w:w="16838" w:h="11906"/>
      <w:pgMar w:left="1701" w:right="624" w:gutter="0" w:header="1134" w:top="1191" w:footer="0" w:bottom="1134"/>
      <w:pgNumType w:fmt="decimal"/>
      <w:formProt w:val="false"/>
      <w:titlePg/>
      <w:textDirection w:val="lrTb"/>
      <w:docGrid w:type="default" w:linePitch="326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  <w:font w:name="PT Astra Serif">
    <w:altName w:val="Times New Roman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0409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tabs>
        <w:tab w:val="clear" w:pos="9355"/>
        <w:tab w:val="center" w:pos="4677" w:leader="none"/>
        <w:tab w:val="right" w:pos="9675" w:leader="none"/>
      </w:tabs>
      <w:ind w:left="0" w:right="-300" w:hanging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tabs>
        <w:tab w:val="clear" w:pos="9355"/>
        <w:tab w:val="center" w:pos="4677" w:leader="none"/>
        <w:tab w:val="right" w:pos="9675" w:leader="none"/>
      </w:tabs>
      <w:ind w:left="0" w:right="-300" w:hanging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571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3">
    <w:name w:val="Heading 3"/>
    <w:basedOn w:val="Style15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SimSun"/>
      <w:b/>
      <w:bCs/>
    </w:rPr>
  </w:style>
  <w:style w:type="character" w:styleId="DefaultParagraphFont">
    <w:name w:val="Default Paragraph Font"/>
    <w:qFormat/>
    <w:rPr/>
  </w:style>
  <w:style w:type="character" w:styleId="Style13">
    <w:name w:val="Интернет-ссылка"/>
    <w:basedOn w:val="DefaultParagraphFont"/>
    <w:rPr>
      <w:color w:val="0000FF"/>
      <w:u w:val="single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>
    <w:name w:val="Абзац списка1"/>
    <w:basedOn w:val="Normal"/>
    <w:qFormat/>
    <w:pPr>
      <w:overflowPunct w:val="true"/>
      <w:ind w:left="720" w:right="0" w:hanging="0"/>
      <w:textAlignment w:val="auto"/>
    </w:pPr>
    <w:rPr>
      <w:sz w:val="24"/>
      <w:szCs w:val="24"/>
    </w:rPr>
  </w:style>
  <w:style w:type="paragraph" w:styleId="32">
    <w:name w:val="Основной текст с отступом 32"/>
    <w:basedOn w:val="Normal"/>
    <w:qFormat/>
    <w:pPr>
      <w:overflowPunct w:val="true"/>
      <w:ind w:left="0" w:right="0" w:firstLine="851"/>
      <w:jc w:val="both"/>
      <w:textAlignment w:val="auto"/>
    </w:pPr>
    <w:rPr>
      <w:sz w:val="28"/>
      <w:szCs w:val="28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0"/>
      <w:szCs w:val="22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0"/>
      <w:szCs w:val="22"/>
      <w:lang w:val="ru-RU" w:eastAsia="zh-CN" w:bidi="ar-SA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/>
    <w:rPr/>
  </w:style>
  <w:style w:type="paragraph" w:styleId="Bodytext">
    <w:name w:val="Body text"/>
    <w:basedOn w:val="Normal"/>
    <w:qFormat/>
    <w:pPr>
      <w:shd w:fill="FFFFFF" w:val="clear"/>
      <w:suppressAutoHyphens w:val="false"/>
      <w:spacing w:lineRule="exact" w:line="326" w:before="240" w:after="0"/>
      <w:jc w:val="both"/>
      <w:textAlignment w:val="auto"/>
    </w:pPr>
    <w:rPr>
      <w:color w:val="auto"/>
      <w:sz w:val="28"/>
      <w:szCs w:val="28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571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571"/>
        <w:tab w:val="center" w:pos="4677" w:leader="none"/>
        <w:tab w:val="right" w:pos="9355" w:leader="none"/>
      </w:tabs>
    </w:pPr>
    <w:rPr/>
  </w:style>
  <w:style w:type="paragraph" w:styleId="Style25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Style26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Application>LibreOffice/7.3.2.2$Windows_X86_64 LibreOffice_project/49f2b1bff42cfccbd8f788c8dc32c1c309559be0</Application>
  <AppVersion>15.0000</AppVersion>
  <Pages>7</Pages>
  <Words>755</Words>
  <Characters>5119</Characters>
  <CharactersWithSpaces>5956</CharactersWithSpaces>
  <Paragraphs>222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2018-07-23T04:49:00Z</dcterms:created>
  <dc:creator>Notebook</dc:creator>
  <dc:description/>
  <dc:language>ru-RU</dc:language>
  <cp:lastModifiedBy/>
  <cp:lastPrinted>2022-07-25T15:03:47Z</cp:lastPrinted>
  <dcterms:modified xsi:type="dcterms:W3CDTF">2022-07-28T15:00:38Z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