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lang w:val="ru-RU" w:eastAsia="en-US" w:bidi="en-US"/>
        </w:rPr>
        <w:t>22.03.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2022 г.</w:t>
        <w:tab/>
        <w:tab/>
        <w:tab/>
        <w:tab/>
        <w:tab/>
        <w:tab/>
        <w:t xml:space="preserve">                  №122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18"/>
          <w:szCs w:val="18"/>
          <w:lang w:eastAsia="en-US" w:bidi="en-US"/>
        </w:rPr>
      </w:pPr>
      <w:r>
        <w:rPr>
          <w:rFonts w:cs="PT Astra Serif" w:ascii="PT Astra Serif" w:hAnsi="PT Astra Serif"/>
          <w:color w:val="000000"/>
          <w:sz w:val="18"/>
          <w:szCs w:val="1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lang w:eastAsia="en-US" w:bidi="en-US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Экз. № _______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tbl>
      <w:tblPr>
        <w:tblW w:w="929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13.09.2021г. № 404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район»» п о с т а н о в л я е т:</w:t>
      </w:r>
    </w:p>
    <w:p>
      <w:pPr>
        <w:pStyle w:val="Style37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от 13.09.2021г. года № 404 «Об утверждении муниципальной программы «Муниципальное управление в муниципальном образовании «Тереньгульский район»» следующие изменения: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1.1. Раздел «Ресурсное обеспечение муниципальной программы 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с разбивкой по этапам и годам реализации» паспорта программы изложить </w:t>
      </w:r>
    </w:p>
    <w:p>
      <w:pPr>
        <w:pStyle w:val="Normal"/>
        <w:shd w:fill="FFFFFF" w:val="clear"/>
        <w:jc w:val="both"/>
        <w:rPr>
          <w:rFonts w:ascii="PT Astra Serif" w:hAnsi="PT Astra Serif" w:cs="PT Astra Serif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sz w:val="28"/>
          <w:szCs w:val="28"/>
          <w:shd w:fill="FFFFFF" w:val="clear"/>
        </w:rPr>
        <w:t>в следующей редакции:</w:t>
      </w:r>
    </w:p>
    <w:p>
      <w:pPr>
        <w:pStyle w:val="Normal"/>
        <w:shd w:fill="FFFFFF" w:val="clear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«Общий объем финансирования программы предусматривает всего 92162,65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тыс. </w:t>
      </w:r>
      <w:r>
        <w:rPr>
          <w:rFonts w:cs="PT Astra Serif" w:ascii="PT Astra Serif" w:hAnsi="PT Astra Serif"/>
          <w:sz w:val="28"/>
          <w:szCs w:val="28"/>
        </w:rPr>
        <w:t>руб., в том числе: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 год  - 14201,15тыс.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-  12958,70 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-  14115,80 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-  24822,90 тыс. рублей;</w:t>
      </w:r>
    </w:p>
    <w:p>
      <w:pPr>
        <w:pStyle w:val="Standard"/>
        <w:widowControl w:val="false"/>
        <w:shd w:fill="FFFFFF" w:val="clear"/>
        <w:bidi w:val="0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2026 год -  26064,10 тыс. рублей».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ab/>
        <w:t>1.2. П</w:t>
      </w:r>
      <w:r>
        <w:rPr>
          <w:rFonts w:cs="PT Astra Serif" w:ascii="PT Astra Serif" w:hAnsi="PT Astra Serif"/>
          <w:sz w:val="28"/>
          <w:szCs w:val="28"/>
        </w:rPr>
        <w:t xml:space="preserve">риложение №2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 xml:space="preserve">изложить в следующей редакции:  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bidi w:val="0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bidi w:val="0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bidi w:val="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</w:t>
      </w:r>
    </w:p>
    <w:p>
      <w:pPr>
        <w:pStyle w:val="Standard"/>
        <w:bidi w:val="0"/>
        <w:ind w:left="0" w:right="0" w:firstLine="567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850" w:gutter="0" w:header="0" w:top="1134" w:footer="1134" w:bottom="1389"/>
          <w:pgNumType w:fmt="decimal"/>
          <w:formProt w:val="false"/>
          <w:titlePg/>
          <w:textDirection w:val="lrTb"/>
          <w:docGrid w:type="default" w:linePitch="360" w:charSpace="0"/>
        </w:sect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0" w:right="0" w:hanging="0"/>
        <w:jc w:val="right"/>
        <w:rPr/>
      </w:pPr>
      <w:r>
        <w:rPr>
          <w:rFonts w:cs="PT Astra Serif" w:ascii="PT Astra Serif" w:hAnsi="PT Astra Serif"/>
          <w:b w:val="false"/>
          <w:bCs w:val="false"/>
        </w:rPr>
        <w:t>«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bidi w:val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район».</w:t>
      </w:r>
    </w:p>
    <w:p>
      <w:pPr>
        <w:pStyle w:val="Standard"/>
        <w:tabs>
          <w:tab w:val="clear" w:pos="708"/>
          <w:tab w:val="left" w:pos="6013" w:leader="none"/>
        </w:tabs>
        <w:bidi w:val="0"/>
        <w:jc w:val="lef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ab/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tbl>
      <w:tblPr>
        <w:tblW w:w="14815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51"/>
        <w:gridCol w:w="850"/>
        <w:gridCol w:w="851"/>
        <w:gridCol w:w="850"/>
        <w:gridCol w:w="1418"/>
        <w:gridCol w:w="1391"/>
        <w:gridCol w:w="899"/>
        <w:gridCol w:w="846"/>
        <w:gridCol w:w="687"/>
        <w:gridCol w:w="741"/>
        <w:gridCol w:w="793"/>
        <w:gridCol w:w="1208"/>
      </w:tblGrid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51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Содержание аппарата Администрации и Совета депутатов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 и Совета депутатов района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69832,00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10334,40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9159,30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10138,00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19609,9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69832,00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10334,40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9159,30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10138,00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19609,9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 Ульяновской области (далее - областной бюджет)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  <w:lang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bidi="hi-IN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Обеспечение деятельности  Главы Администрации МО «Тереньгульский район»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ind w:left="0" w:right="0" w:hanging="108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0" w:right="0" w:hanging="108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 и Совета депутатов района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4842,3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673,4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4842,3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673,4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  <w:lang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bidi="hi-IN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Осуществление расходов на реализацию основных мероприятий, утвержденных планами Администрации, ее структурных подразделений и Совета депутатов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Просроченная дебиторская  задолженность  Администрации и Совета депутатов района на начало финансового года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Выплата единовременного поощрения в связи с выходом на пенсию за выслугу лет в соответствии с положением об оплате труда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ind w:left="170" w:right="0" w:hanging="0"/>
              <w:jc w:val="left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район», специалист муниципальной службы и кадров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170" w:right="0" w:firstLine="283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Выплата ежемесячного денежного пособия гражданам, удостоенным званием «Почетный гражданин»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170" w:right="0" w:firstLine="283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918,45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918,45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район», специалист муниципальной службы и кадров 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16569,9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16569,9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</w:tbl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Default"/>
        <w:bidi w:val="0"/>
        <w:ind w:left="0"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1.3. </w:t>
      </w:r>
      <w:r>
        <w:rPr>
          <w:rFonts w:cs="PT Astra Serif" w:ascii="PT Astra Serif" w:hAnsi="PT Astra Serif"/>
          <w:sz w:val="28"/>
          <w:szCs w:val="28"/>
          <w:lang w:eastAsia="en-US"/>
        </w:rPr>
        <w:t>П</w:t>
      </w:r>
      <w:r>
        <w:rPr>
          <w:rFonts w:cs="PT Astra Serif" w:ascii="PT Astra Serif" w:hAnsi="PT Astra Serif"/>
          <w:sz w:val="28"/>
          <w:szCs w:val="28"/>
        </w:rPr>
        <w:t xml:space="preserve">риложение №3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>изложить в следующей редакции: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«Приложение №3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    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Normal"/>
        <w:jc w:val="right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  <w:t xml:space="preserve">              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Перечень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«Тереньгульский район» Ульяновской области </w:t>
      </w:r>
    </w:p>
    <w:p>
      <w:pPr>
        <w:pStyle w:val="Standard"/>
        <w:bidi w:val="0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9100185" cy="349123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0185" cy="34912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4379" w:type="dxa"/>
                              <w:jc w:val="left"/>
                              <w:tblInd w:w="-1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</w:tblPr>
                            <w:tblGrid>
                              <w:gridCol w:w="557"/>
                              <w:gridCol w:w="3582"/>
                              <w:gridCol w:w="1984"/>
                              <w:gridCol w:w="1276"/>
                              <w:gridCol w:w="1843"/>
                              <w:gridCol w:w="1843"/>
                              <w:gridCol w:w="1559"/>
                              <w:gridCol w:w="1735"/>
                            </w:tblGrid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N п/п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8256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Значения показателей по годам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both"/>
                                    <w:rPr>
                                      <w:rFonts w:ascii="PT Astra Serif" w:hAnsi="PT Astra Serif" w:cs="PT Astra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both"/>
                                    <w:rPr>
                                      <w:rFonts w:ascii="PT Astra Serif" w:hAnsi="PT Astra Serif" w:cs="PT Astra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both"/>
                                    <w:rPr>
                                      <w:rFonts w:ascii="PT Astra Serif" w:hAnsi="PT Astra Serif" w:cs="PT Astra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2022 год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2023 год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2024 год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2025 год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2026 год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left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bidi w:val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Обеспечение деятельности аппарата Совета депутатов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529,4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522,4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561,9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1609,8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1690,2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left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bidi w:val="0"/>
                                    <w:snapToGrid w:val="false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Обеспечение деятельности Главы администрации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673,4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596,1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662,6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1419,6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1490,6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left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bidi w:val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Обеспечение деятельности аппарата Администрации  района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9805,0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8636,9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9576,1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18000,1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18900,2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left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bidi w:val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Пенсионное обеспечение</w:t>
                                  </w:r>
                                </w:p>
                                <w:p>
                                  <w:pPr>
                                    <w:pStyle w:val="Standard"/>
                                    <w:bidi w:val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bidi w:val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3046,9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3026,6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3126,4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3595,1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3774,9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left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bidi w:val="0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«Почетный гражданин»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Тыс. 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146,45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176,7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188,8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198,3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ConsPlusNormal1"/>
                                    <w:bidi w:val="0"/>
                                    <w:snapToGrid w:val="false"/>
                                    <w:jc w:val="center"/>
                                    <w:rPr>
                                      <w:rFonts w:ascii="PT Astra Serif" w:hAnsi="PT Astra Serif" w:cs="PT Astra Serif"/>
                                    </w:rPr>
                                  </w:pPr>
                                  <w:r>
                                    <w:rPr>
                                      <w:rFonts w:cs="PT Astra Serif" w:ascii="PT Astra Serif" w:hAnsi="PT Astra Serif"/>
                                    </w:rPr>
                                    <w:t>208,2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8255" tIns="8255" rIns="8255" bIns="82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16.55pt;height:274.9pt;mso-wrap-distance-left:0pt;mso-wrap-distance-right:9pt;mso-wrap-distance-top:0pt;mso-wrap-distance-bottom:0pt;margin-top:0.05pt;mso-position-vertical-relative:text;margin-left:0pt;mso-position-horizontal-relative:text">
                <v:textbox inset="0.00902777777777778in,0.00902777777777778in,0.00902777777777778in,0.00902777777777778in">
                  <w:txbxContent>
                    <w:tbl>
                      <w:tblPr>
                        <w:tblW w:w="14379" w:type="dxa"/>
                        <w:jc w:val="left"/>
                        <w:tblInd w:w="-1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</w:tblPr>
                      <w:tblGrid>
                        <w:gridCol w:w="557"/>
                        <w:gridCol w:w="3582"/>
                        <w:gridCol w:w="1984"/>
                        <w:gridCol w:w="1276"/>
                        <w:gridCol w:w="1843"/>
                        <w:gridCol w:w="1843"/>
                        <w:gridCol w:w="1559"/>
                        <w:gridCol w:w="1735"/>
                      </w:tblGrid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N п/п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8256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Значения показателей по годам</w:t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both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both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both"/>
                              <w:rPr>
                                <w:rFonts w:ascii="PT Astra Serif" w:hAnsi="PT Astra Serif" w:cs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2022 год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2023 год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2024 год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2025 год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2026 год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left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andard"/>
                              <w:bidi w:val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Обеспечение деятельности аппарата Совета депутатов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529,4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522,4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561,9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1609,8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1690,2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left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andard"/>
                              <w:bidi w:val="0"/>
                              <w:snapToGrid w:val="false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Обеспечение деятельности Главы администрации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673,4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596,1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662,6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1419,6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1490,6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left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andard"/>
                              <w:bidi w:val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Обеспечение деятельности аппарата Администрации  района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9805,0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8636,9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9576,1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18000,1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18900,2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left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andard"/>
                              <w:bidi w:val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Пенсионное обеспечение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3046,9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3026,6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3126,4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3595,1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3774,9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left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andard"/>
                              <w:bidi w:val="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«Почетный гражданин»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Тыс. руб.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146,45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176,7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188,8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198,3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ConsPlusNormal1"/>
                              <w:bidi w:val="0"/>
                              <w:snapToGrid w:val="false"/>
                              <w:jc w:val="center"/>
                              <w:rPr>
                                <w:rFonts w:ascii="PT Astra Serif" w:hAnsi="PT Astra Serif" w:cs="PT Astra Serif"/>
                              </w:rPr>
                            </w:pPr>
                            <w:r>
                              <w:rPr>
                                <w:rFonts w:cs="PT Astra Serif" w:ascii="PT Astra Serif" w:hAnsi="PT Astra Serif"/>
                              </w:rPr>
                              <w:t>208,2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bidi w:val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  <w:t>«Муниципальное управление» в муниципальном образовании «Тереньгульский район».</w:t>
      </w:r>
    </w:p>
    <w:tbl>
      <w:tblPr>
        <w:tblW w:w="14815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51"/>
        <w:gridCol w:w="850"/>
        <w:gridCol w:w="851"/>
        <w:gridCol w:w="850"/>
        <w:gridCol w:w="1418"/>
        <w:gridCol w:w="1391"/>
        <w:gridCol w:w="899"/>
        <w:gridCol w:w="846"/>
        <w:gridCol w:w="687"/>
        <w:gridCol w:w="741"/>
        <w:gridCol w:w="793"/>
        <w:gridCol w:w="1208"/>
      </w:tblGrid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82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92162,65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14201,15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12958,70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14115,80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24822,90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en-US"/>
              </w:rPr>
              <w:t xml:space="preserve">26064,10 </w:t>
            </w:r>
          </w:p>
        </w:tc>
      </w:tr>
      <w:tr>
        <w:trPr/>
        <w:tc>
          <w:tcPr>
            <w:tcW w:w="8250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92162,65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14201,15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12958,70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14115,80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24822,90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en-US"/>
              </w:rPr>
              <w:t xml:space="preserve">26064,10 </w:t>
            </w:r>
          </w:p>
        </w:tc>
      </w:tr>
      <w:tr>
        <w:trPr/>
        <w:tc>
          <w:tcPr>
            <w:tcW w:w="82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82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Г.А. Шерстнев</w:t>
      </w:r>
    </w:p>
    <w:p>
      <w:pPr>
        <w:pStyle w:val="Standard"/>
        <w:bidi w:val="0"/>
        <w:jc w:val="right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/>
      </w:pPr>
      <w:r>
        <w:rPr/>
        <w:t>»</w:t>
      </w:r>
    </w:p>
    <w:sectPr>
      <w:headerReference w:type="even" r:id="rId5"/>
      <w:headerReference w:type="default" r:id="rId6"/>
      <w:footerReference w:type="even" r:id="rId7"/>
      <w:footerReference w:type="default" r:id="rId8"/>
      <w:type w:val="nextPage"/>
      <w:pgSz w:orient="landscape" w:w="16838" w:h="11906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Symbol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Georgia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bidi w:val="0"/>
      <w:jc w:val="left"/>
      <w:rPr>
        <w:rFonts w:ascii="PT Astra Serif" w:hAnsi="PT Astra Serif" w:cs="PT Astra Serif"/>
        <w:sz w:val="36"/>
        <w:szCs w:val="31"/>
      </w:rPr>
    </w:pPr>
    <w:r>
      <w:rPr>
        <w:rFonts w:cs="PT Astra Serif" w:ascii="PT Astra Serif" w:hAnsi="PT Astra Serif"/>
        <w:sz w:val="36"/>
        <w:szCs w:val="31"/>
      </w:rPr>
      <w:t>0138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bidi w:val="0"/>
      <w:jc w:val="righ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6z0">
    <w:name w:val="WW8Num6z0"/>
    <w:qFormat/>
    <w:rPr>
      <w:b/>
      <w:sz w:val="24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>
      <w:b/>
      <w:vanish/>
      <w:sz w:val="24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4"/>
      <w:lang w:val="ru-RU"/>
    </w:rPr>
  </w:style>
  <w:style w:type="character" w:styleId="WW8Num12z0">
    <w:name w:val="WW8Num12z0"/>
    <w:qFormat/>
    <w:rPr>
      <w:b/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>
      <w:b/>
      <w:sz w:val="24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4"/>
    </w:rPr>
  </w:style>
  <w:style w:type="character" w:styleId="WW8Num16z0">
    <w:name w:val="WW8Num16z0"/>
    <w:qFormat/>
    <w:rPr>
      <w:b/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8z0">
    <w:name w:val="WW8Num18z0"/>
    <w:qFormat/>
    <w:rPr>
      <w:rFonts w:ascii="Times New Roman" w:hAnsi="Times New Roman" w:cs="Times New Roman"/>
      <w:sz w:val="24"/>
    </w:rPr>
  </w:style>
  <w:style w:type="character" w:styleId="WW8Num19z0">
    <w:name w:val="WW8Num19z0"/>
    <w:qFormat/>
    <w:rPr>
      <w:rFonts w:ascii="Times New Roman" w:hAnsi="Times New Roman" w:cs="Times New Roman"/>
      <w:sz w:val="24"/>
    </w:rPr>
  </w:style>
  <w:style w:type="character" w:styleId="WW8Num20z0">
    <w:name w:val="WW8Num20z0"/>
    <w:qFormat/>
    <w:rPr>
      <w:b/>
      <w:sz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>
      <w:b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1z0">
    <w:name w:val="WW8Num21z0"/>
    <w:qFormat/>
    <w:rPr>
      <w:sz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styleId="WW8Num23z0">
    <w:name w:val="WW8Num23z0"/>
    <w:qFormat/>
    <w:rPr>
      <w:sz w:val="24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sz w:val="24"/>
    </w:rPr>
  </w:style>
  <w:style w:type="character" w:styleId="WW8Num27z0">
    <w:name w:val="WW8Num27z0"/>
    <w:qFormat/>
    <w:rPr>
      <w:rFonts w:ascii="Times New Roman" w:hAnsi="Times New Roman" w:cs="Times New Roman"/>
      <w:i/>
      <w:sz w:val="24"/>
    </w:rPr>
  </w:style>
  <w:style w:type="character" w:styleId="WW8Num28z0">
    <w:name w:val="WW8Num28z0"/>
    <w:qFormat/>
    <w:rPr>
      <w:sz w:val="24"/>
    </w:rPr>
  </w:style>
  <w:style w:type="character" w:styleId="WW8Num29z0">
    <w:name w:val="WW8Num29z0"/>
    <w:qFormat/>
    <w:rPr>
      <w:rFonts w:eastAsia="Times New Roman"/>
      <w:sz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cs="Times New Roman"/>
      <w:b/>
      <w:bCs w:val="false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  <w:sz w:val="24"/>
    </w:rPr>
  </w:style>
  <w:style w:type="character" w:styleId="WW8Num35z0">
    <w:name w:val="WW8Num35z0"/>
    <w:qFormat/>
    <w:rPr>
      <w:rFonts w:cs="Times New Roman"/>
      <w:b w:val="false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  <w:b/>
      <w:bCs/>
      <w:sz w:val="24"/>
      <w:szCs w:val="24"/>
    </w:rPr>
  </w:style>
  <w:style w:type="character" w:styleId="WW8Num37z0">
    <w:name w:val="WW8Num37z0"/>
    <w:qFormat/>
    <w:rPr>
      <w:rFonts w:cs="Times New Roman"/>
      <w:b/>
      <w:bCs/>
      <w:sz w:val="24"/>
      <w:szCs w:val="24"/>
    </w:rPr>
  </w:style>
  <w:style w:type="character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styleId="WW8Num37z2">
    <w:name w:val="WW8Num37z2"/>
    <w:qFormat/>
    <w:rPr>
      <w:rFonts w:cs="Times New Roman"/>
    </w:rPr>
  </w:style>
  <w:style w:type="character" w:styleId="WW8Num38z0">
    <w:name w:val="WW8Num38z0"/>
    <w:qFormat/>
    <w:rPr>
      <w:rFonts w:ascii="Symbol" w:hAnsi="Symbol" w:cs="Symbol"/>
      <w:b/>
      <w:sz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  <w:b/>
      <w:bCs/>
      <w:sz w:val="24"/>
      <w:szCs w:val="24"/>
    </w:rPr>
  </w:style>
  <w:style w:type="character" w:styleId="WW8Num41z0">
    <w:name w:val="WW8Num41z0"/>
    <w:qFormat/>
    <w:rPr>
      <w:rFonts w:ascii="Symbol" w:hAnsi="Symbol" w:cs="Symbol"/>
      <w:b/>
      <w:sz w:val="24"/>
    </w:rPr>
  </w:style>
  <w:style w:type="character" w:styleId="21">
    <w:name w:val="Основной шрифт абзаца2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spacing w:val="-2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  <w:sz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1">
    <w:name w:val="WW8Num13z1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sz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</w:rPr>
  </w:style>
  <w:style w:type="character" w:styleId="Style16">
    <w:name w:val="Гипертекстовая ссылка"/>
    <w:qFormat/>
    <w:rPr>
      <w:b/>
      <w:color w:val="008000"/>
    </w:rPr>
  </w:style>
  <w:style w:type="character" w:styleId="FontStyle15">
    <w:name w:val="Font Style15"/>
    <w:qFormat/>
    <w:rPr>
      <w:rFonts w:ascii="Times New Roman" w:hAnsi="Times New Roman" w:cs="Times New Roman"/>
      <w:sz w:val="24"/>
    </w:rPr>
  </w:style>
  <w:style w:type="character" w:styleId="13">
    <w:name w:val="Знак примечания1"/>
    <w:qFormat/>
    <w:rPr>
      <w:sz w:val="16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sz w:val="20"/>
    </w:rPr>
  </w:style>
  <w:style w:type="character" w:styleId="Style18">
    <w:name w:val="Тема примечания Знак"/>
    <w:qFormat/>
    <w:rPr>
      <w:rFonts w:ascii="Times New Roman" w:hAnsi="Times New Roman" w:eastAsia="Times New Roman" w:cs="Times New Roman"/>
      <w:b/>
      <w:sz w:val="20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FootnoteSymbol">
    <w:name w:val="Footnote Symbol"/>
    <w:qFormat/>
    <w:rPr>
      <w:vertAlign w:val="superscript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Символ сноски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Style22">
    <w:name w:val="Символы концевой сноски"/>
    <w:qFormat/>
    <w:rPr>
      <w:vertAlign w:val="superscript"/>
    </w:rPr>
  </w:style>
  <w:style w:type="character" w:styleId="BulletSymbols">
    <w:name w:val="Bullet Symbols"/>
    <w:qFormat/>
    <w:rPr>
      <w:rFonts w:ascii="OpenSymbol;Arial Unicode MS" w:hAnsi="OpenSymbol;Arial Unicode MS" w:eastAsia="Times New Roman" w:cs="OpenSymbol;Arial Unicode MS"/>
    </w:rPr>
  </w:style>
  <w:style w:type="character" w:styleId="FontStyle82">
    <w:name w:val="Font Style82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81">
    <w:name w:val="Font Style8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TFNum301">
    <w:name w:val="RTF_Num 30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FontStyle79">
    <w:name w:val="Font Style79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BodyTextChar">
    <w:name w:val="Body Text Char"/>
    <w:qFormat/>
    <w:rPr>
      <w:sz w:val="24"/>
      <w:szCs w:val="20"/>
    </w:rPr>
  </w:style>
  <w:style w:type="character" w:styleId="HeaderChar">
    <w:name w:val="Header Char"/>
    <w:qFormat/>
    <w:rPr>
      <w:sz w:val="24"/>
      <w:szCs w:val="20"/>
    </w:rPr>
  </w:style>
  <w:style w:type="character" w:styleId="FooterChar">
    <w:name w:val="Footer Char"/>
    <w:qFormat/>
    <w:rPr>
      <w:sz w:val="24"/>
      <w:szCs w:val="20"/>
    </w:rPr>
  </w:style>
  <w:style w:type="character" w:styleId="BalloonTextChar">
    <w:name w:val="Balloon Text Char"/>
    <w:qFormat/>
    <w:rPr/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FootnoteTextChar">
    <w:name w:val="Footnote Text Char"/>
    <w:qFormat/>
    <w:rPr>
      <w:sz w:val="20"/>
      <w:szCs w:val="20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>
    <w:name w:val="Subtitle Char"/>
    <w:qFormat/>
    <w:rPr>
      <w:rFonts w:ascii="Cambria" w:hAnsi="Cambria" w:cs="Cambria"/>
      <w:sz w:val="24"/>
      <w:szCs w:val="24"/>
    </w:rPr>
  </w:style>
  <w:style w:type="character" w:styleId="Footnoteanchor">
    <w:name w:val="Foot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FontStyle39">
    <w:name w:val="Font Style39"/>
    <w:qFormat/>
    <w:rPr>
      <w:rFonts w:ascii="Calibri" w:hAnsi="Calibri" w:cs="Calibri"/>
      <w:sz w:val="20"/>
      <w:szCs w:val="20"/>
    </w:rPr>
  </w:style>
  <w:style w:type="character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styleId="Style23">
    <w:name w:val="Ñèìâîë ñíîñêè"/>
    <w:qFormat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bidi="zxx"/>
    </w:rPr>
  </w:style>
  <w:style w:type="character" w:styleId="14">
    <w:name w:val="Знак сноски1"/>
    <w:qFormat/>
    <w:rPr>
      <w:vertAlign w:val="superscript"/>
    </w:rPr>
  </w:style>
  <w:style w:type="character" w:styleId="Style25">
    <w:name w:val="Символ нумерации"/>
    <w:qFormat/>
    <w:rPr/>
  </w:style>
  <w:style w:type="character" w:styleId="15">
    <w:name w:val="Нижний колонтитул Знак1"/>
    <w:qFormat/>
    <w:rPr>
      <w:kern w:val="2"/>
      <w:sz w:val="24"/>
      <w:lang w:eastAsia="zh-C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Style27">
    <w:name w:val="Body Text"/>
    <w:basedOn w:val="Normal"/>
    <w:pPr>
      <w:spacing w:before="0" w:after="120"/>
    </w:pPr>
    <w:rPr/>
  </w:style>
  <w:style w:type="paragraph" w:styleId="Style28">
    <w:name w:val="List"/>
    <w:basedOn w:val="Textbody"/>
    <w:pPr/>
    <w:rPr>
      <w:rFonts w:cs="Mangal;Courier New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31">
    <w:name w:val="Название объекта"/>
    <w:basedOn w:val="Standard"/>
    <w:next w:val="Style44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31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;Courier New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24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Courier New"/>
    </w:rPr>
  </w:style>
  <w:style w:type="paragraph" w:styleId="16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styleId="17">
    <w:name w:val="Указатель1"/>
    <w:basedOn w:val="Standard"/>
    <w:qFormat/>
    <w:pPr>
      <w:suppressLineNumbers/>
    </w:pPr>
    <w:rPr>
      <w:rFonts w:cs="Mangal;Courier New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andard"/>
    <w:pPr>
      <w:suppressLineNumbers/>
    </w:pPr>
    <w:rPr/>
  </w:style>
  <w:style w:type="paragraph" w:styleId="Style34">
    <w:name w:val="Footer"/>
    <w:basedOn w:val="Standard"/>
    <w:pPr>
      <w:suppressLineNumbers/>
    </w:pPr>
    <w:rPr>
      <w:lang w:val="ru-RU"/>
    </w:rPr>
  </w:style>
  <w:style w:type="paragraph" w:styleId="ContentsHeading">
    <w:name w:val="Contents Heading"/>
    <w:basedOn w:val="1"/>
    <w:qFormat/>
    <w:pPr>
      <w:numPr>
        <w:ilvl w:val="0"/>
        <w:numId w:val="0"/>
      </w:numPr>
      <w:suppressLineNumbers/>
      <w:overflowPunct w:val="false"/>
      <w:spacing w:lineRule="auto" w:line="276" w:before="480" w:after="0"/>
      <w:ind w:left="0" w:right="0" w:hanging="0"/>
      <w:jc w:val="left"/>
      <w:outlineLvl w:val="9"/>
    </w:pPr>
    <w:rPr>
      <w:b/>
      <w:bCs/>
      <w:color w:val="365F91"/>
      <w:sz w:val="28"/>
      <w:szCs w:val="28"/>
    </w:rPr>
  </w:style>
  <w:style w:type="paragraph" w:styleId="Contents1">
    <w:name w:val="Contents 1"/>
    <w:basedOn w:val="Standard"/>
    <w:qFormat/>
    <w:pPr>
      <w:spacing w:before="0" w:after="100"/>
      <w:ind w:left="0" w:right="0" w:hanging="0"/>
    </w:pPr>
    <w:rPr/>
  </w:style>
  <w:style w:type="paragraph" w:styleId="Style35">
    <w:name w:val="Текст выноски"/>
    <w:basedOn w:val="Standard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Standard"/>
    <w:qFormat/>
    <w:pPr>
      <w:spacing w:before="0" w:after="0"/>
      <w:ind w:left="720" w:right="0" w:hanging="0"/>
    </w:pPr>
    <w:rPr>
      <w:rFonts w:ascii="Calibri" w:hAnsi="Calibri" w:cs="Calibri"/>
      <w:b/>
      <w:bCs/>
    </w:rPr>
  </w:style>
  <w:style w:type="paragraph" w:styleId="Style3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8">
    <w:name w:val="Текст примечания1"/>
    <w:basedOn w:val="Standard"/>
    <w:qFormat/>
    <w:pPr/>
    <w:rPr>
      <w:sz w:val="20"/>
    </w:rPr>
  </w:style>
  <w:style w:type="paragraph" w:styleId="25">
    <w:name w:val="Текст примечания2"/>
    <w:basedOn w:val="Standard"/>
    <w:qFormat/>
    <w:pPr/>
    <w:rPr>
      <w:sz w:val="20"/>
    </w:rPr>
  </w:style>
  <w:style w:type="paragraph" w:styleId="Style38">
    <w:name w:val="Тема примечания"/>
    <w:basedOn w:val="18"/>
    <w:qFormat/>
    <w:pPr/>
    <w:rPr>
      <w:b/>
      <w:bCs/>
    </w:rPr>
  </w:style>
  <w:style w:type="paragraph" w:styleId="Style39">
    <w:name w:val="Рецензия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40">
    <w:name w:val="Footnote Text"/>
    <w:basedOn w:val="Standard"/>
    <w:pPr/>
    <w:rPr>
      <w:sz w:val="20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1">
    <w:name w:val="Знак"/>
    <w:basedOn w:val="Standard"/>
    <w:qFormat/>
    <w:pPr>
      <w:widowControl w:val="false"/>
      <w:overflowPunct w:val="false"/>
      <w:spacing w:lineRule="exact" w:line="240" w:before="0" w:after="160"/>
      <w:jc w:val="right"/>
    </w:pPr>
    <w:rPr>
      <w:sz w:val="20"/>
      <w:lang w:val="en-GB"/>
    </w:rPr>
  </w:style>
  <w:style w:type="paragraph" w:styleId="19">
    <w:name w:val="Название объекта1"/>
    <w:basedOn w:val="Standard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110">
    <w:name w:val="Абзац списка1"/>
    <w:basedOn w:val="Standard"/>
    <w:qFormat/>
    <w:pPr>
      <w:overflowPunct w:val="false"/>
      <w:spacing w:before="0" w:after="0"/>
      <w:ind w:left="720" w:right="0" w:hanging="0"/>
    </w:pPr>
    <w:rPr>
      <w:szCs w:val="24"/>
    </w:rPr>
  </w:style>
  <w:style w:type="paragraph" w:styleId="Style42">
    <w:name w:val="Обычный (веб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styleId="Contents2">
    <w:name w:val="Contents 2"/>
    <w:basedOn w:val="17"/>
    <w:qFormat/>
    <w:pPr>
      <w:spacing w:before="0" w:after="0"/>
      <w:ind w:left="283" w:right="0" w:hanging="0"/>
    </w:pPr>
    <w:rPr/>
  </w:style>
  <w:style w:type="paragraph" w:styleId="Contents3">
    <w:name w:val="Contents 3"/>
    <w:basedOn w:val="17"/>
    <w:qFormat/>
    <w:pPr>
      <w:spacing w:before="0" w:after="0"/>
      <w:ind w:left="566" w:right="0" w:hanging="0"/>
    </w:pPr>
    <w:rPr/>
  </w:style>
  <w:style w:type="paragraph" w:styleId="Contents4">
    <w:name w:val="Contents 4"/>
    <w:basedOn w:val="17"/>
    <w:qFormat/>
    <w:pPr>
      <w:spacing w:before="0" w:after="0"/>
      <w:ind w:left="849" w:right="0" w:hanging="0"/>
    </w:pPr>
    <w:rPr/>
  </w:style>
  <w:style w:type="paragraph" w:styleId="Contents5">
    <w:name w:val="Contents 5"/>
    <w:basedOn w:val="17"/>
    <w:qFormat/>
    <w:pPr>
      <w:spacing w:before="0" w:after="0"/>
      <w:ind w:left="1132" w:right="0" w:hanging="0"/>
    </w:pPr>
    <w:rPr/>
  </w:style>
  <w:style w:type="paragraph" w:styleId="Contents6">
    <w:name w:val="Contents 6"/>
    <w:basedOn w:val="17"/>
    <w:qFormat/>
    <w:pPr>
      <w:spacing w:before="0" w:after="0"/>
      <w:ind w:left="1415" w:right="0" w:hanging="0"/>
    </w:pPr>
    <w:rPr/>
  </w:style>
  <w:style w:type="paragraph" w:styleId="Contents7">
    <w:name w:val="Contents 7"/>
    <w:basedOn w:val="17"/>
    <w:qFormat/>
    <w:pPr>
      <w:spacing w:before="0" w:after="0"/>
      <w:ind w:left="1698" w:right="0" w:hanging="0"/>
    </w:pPr>
    <w:rPr/>
  </w:style>
  <w:style w:type="paragraph" w:styleId="Contents8">
    <w:name w:val="Contents 8"/>
    <w:basedOn w:val="17"/>
    <w:qFormat/>
    <w:pPr>
      <w:spacing w:before="0" w:after="0"/>
      <w:ind w:left="1981" w:right="0" w:hanging="0"/>
    </w:pPr>
    <w:rPr/>
  </w:style>
  <w:style w:type="paragraph" w:styleId="Contents9">
    <w:name w:val="Contents 9"/>
    <w:basedOn w:val="17"/>
    <w:qFormat/>
    <w:pPr>
      <w:spacing w:before="0" w:after="0"/>
      <w:ind w:left="2264" w:right="0" w:hanging="0"/>
    </w:pPr>
    <w:rPr/>
  </w:style>
  <w:style w:type="paragraph" w:styleId="Contents10">
    <w:name w:val="Contents 10"/>
    <w:basedOn w:val="17"/>
    <w:qFormat/>
    <w:pPr>
      <w:spacing w:before="0" w:after="0"/>
      <w:ind w:left="2547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oGramma">
    <w:name w:val="Pro-Gramma"/>
    <w:basedOn w:val="Standard"/>
    <w:qFormat/>
    <w:pPr>
      <w:spacing w:lineRule="auto" w:line="288" w:before="120" w:after="0"/>
      <w:ind w:left="1134" w:right="0" w:hanging="0"/>
      <w:jc w:val="both"/>
    </w:pPr>
    <w:rPr>
      <w:rFonts w:ascii="Georgia" w:hAnsi="Georgia" w:cs="Georgia"/>
      <w:sz w:val="20"/>
      <w:szCs w:val="24"/>
    </w:rPr>
  </w:style>
  <w:style w:type="paragraph" w:styleId="Style43">
    <w:name w:val="Стиль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44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ootnote">
    <w:name w:val="Footnote"/>
    <w:basedOn w:val="Standard"/>
    <w:qFormat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91">
    <w:name w:val="Style9"/>
    <w:basedOn w:val="Standard"/>
    <w:qFormat/>
    <w:pPr>
      <w:spacing w:lineRule="exact" w:line="228"/>
    </w:pPr>
    <w:rPr/>
  </w:style>
  <w:style w:type="paragraph" w:styleId="111">
    <w:name w:val="Красная строка1"/>
    <w:basedOn w:val="Textbody"/>
    <w:qFormat/>
    <w:pPr>
      <w:spacing w:before="0" w:after="0"/>
      <w:ind w:left="0" w:right="0" w:firstLine="210"/>
    </w:pPr>
    <w:rPr/>
  </w:style>
  <w:style w:type="paragraph" w:styleId="Headinguser">
    <w:name w:val="Heading (user)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Arial" w:cs="Arial"/>
      <w:b/>
      <w:bCs/>
      <w:color w:val="auto"/>
      <w:kern w:val="2"/>
      <w:sz w:val="22"/>
      <w:szCs w:val="22"/>
      <w:lang w:val="ru-RU" w:eastAsia="zh-CN" w:bidi="ar-SA"/>
    </w:rPr>
  </w:style>
  <w:style w:type="paragraph" w:styleId="Preformat">
    <w:name w:val="Preformat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211">
    <w:name w:val="Список 21"/>
    <w:basedOn w:val="Standard"/>
    <w:qFormat/>
    <w:pPr>
      <w:spacing w:before="0" w:after="0"/>
      <w:ind w:left="566" w:right="0" w:hanging="283"/>
    </w:pPr>
    <w:rPr/>
  </w:style>
  <w:style w:type="paragraph" w:styleId="Style231">
    <w:name w:val="Style23"/>
    <w:basedOn w:val="Standard"/>
    <w:qFormat/>
    <w:pPr>
      <w:spacing w:lineRule="exact" w:line="269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Calibri" w:hAnsi="Calibri" w:eastAsia="Arial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HorizontalLine">
    <w:name w:val="Horizontal Lin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tyle45">
    <w:name w:val="Àáçàö ñïèñêà"/>
    <w:basedOn w:val="Standard"/>
    <w:qFormat/>
    <w:pPr>
      <w:spacing w:before="0" w:after="0"/>
      <w:ind w:left="720" w:right="0" w:hanging="0"/>
    </w:pPr>
    <w:rPr/>
  </w:style>
  <w:style w:type="paragraph" w:styleId="Style46">
    <w:name w:val="Содержимое таблицы"/>
    <w:basedOn w:val="Normal"/>
    <w:qFormat/>
    <w:pPr>
      <w:widowControl/>
      <w:suppressLineNumbers/>
      <w:suppressAutoHyphens w:val="false"/>
      <w:textAlignment w:val="auto"/>
    </w:pPr>
    <w:rPr>
      <w:kern w:val="2"/>
      <w:sz w:val="24"/>
      <w:szCs w:val="20"/>
    </w:rPr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965</TotalTime>
  <Application>LibreOffice/7.3.2.2$Windows_X86_64 LibreOffice_project/49f2b1bff42cfccbd8f788c8dc32c1c309559be0</Application>
  <AppVersion>15.0000</AppVersion>
  <Pages>12</Pages>
  <Words>913</Words>
  <Characters>6339</Characters>
  <CharactersWithSpaces>7087</CharactersWithSpaces>
  <Paragraphs>362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2017-12-13T18:13:00Z</dcterms:created>
  <dc:creator>Сазонова Мария Вячеславовна</dc:creator>
  <dc:description/>
  <dc:language>ru-RU</dc:language>
  <cp:lastModifiedBy/>
  <cp:lastPrinted>2022-01-20T13:18:00Z</cp:lastPrinted>
  <dcterms:modified xsi:type="dcterms:W3CDTF">2022-03-31T15:53:24Z</dcterms:modified>
  <cp:revision>54</cp:revision>
  <dc:subject/>
  <dc:title>Муниципальная программа «Муниципальное управление»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