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lineRule="auto" w:line="276" w:before="0" w:after="140"/>
        <w:jc w:val="left"/>
        <w:rPr/>
      </w:pPr>
      <w:r>
        <w:rPr/>
      </w:r>
    </w:p>
    <w:p>
      <w:pPr>
        <w:sectPr>
          <w:type w:val="continuous"/>
          <w:pgSz w:orient="landscape" w:w="16838" w:h="11906"/>
          <w:pgMar w:left="1134" w:right="1134" w:gutter="0" w:header="0" w:top="1134" w:footer="0" w:bottom="1134"/>
          <w:formProt w:val="true"/>
          <w:textDirection w:val="lrTb"/>
          <w:docGrid w:type="default" w:linePitch="600" w:charSpace="32768"/>
        </w:sectPr>
      </w:pPr>
    </w:p>
    <w:p>
      <w:pPr>
        <w:pStyle w:val="Style16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Утверждаю</w:t>
      </w:r>
    </w:p>
    <w:p>
      <w:pPr>
        <w:pStyle w:val="Style16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>
      <w:pPr>
        <w:pStyle w:val="Style16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Style16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>
        <w:rPr>
          <w:rFonts w:ascii="PT Astra Serif" w:hAnsi="PT Astra Serif"/>
        </w:rPr>
        <w:t>Тереньгульский</w:t>
      </w:r>
      <w:r>
        <w:rPr>
          <w:rFonts w:ascii="PT Astra Serif" w:hAnsi="PT Astra Serif"/>
        </w:rPr>
        <w:t xml:space="preserve">  район»</w:t>
      </w:r>
    </w:p>
    <w:p>
      <w:pPr>
        <w:pStyle w:val="Style16"/>
        <w:bidi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Ульяновской области</w:t>
      </w:r>
    </w:p>
    <w:p>
      <w:pPr>
        <w:pStyle w:val="Style16"/>
        <w:bidi w:val="0"/>
        <w:jc w:val="righ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Реестр коррупционных рисков, возникающих при осуществлении закупок</w:t>
      </w:r>
    </w:p>
    <w:p>
      <w:pPr>
        <w:pStyle w:val="Normal"/>
        <w:bidi w:val="0"/>
        <w:jc w:val="center"/>
        <w:rPr/>
      </w:pPr>
      <w:r>
        <w:rPr/>
      </w:r>
    </w:p>
    <w:tbl>
      <w:tblPr>
        <w:tblW w:w="1431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3385"/>
        <w:gridCol w:w="1717"/>
        <w:gridCol w:w="2428"/>
        <w:gridCol w:w="4094"/>
      </w:tblGrid>
      <w:tr>
        <w:trPr>
          <w:trHeight w:val="405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Краткое наименование коррупционного риска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Описание возможной коррупционной схемы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Меры минимизации коррупционных рисков</w:t>
            </w:r>
          </w:p>
        </w:tc>
      </w:tr>
      <w:tr>
        <w:trPr>
          <w:trHeight w:val="120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Реализуемые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Предлагаемые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Планирование закупок посредством формирования, утверждения и ведения планов-графиков. Наименование объекта закупки и (или) наименование объектов закупки.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Закупка товаров, работ, услуг, не относящихся к деятельности администрации и её структурных подразделений, превышение нормативных затрат. Нецелевое использование бюджетных средств.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Контрактный управляющий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Осуществление закупок в соответствии с нормативными затратами на обеспечение функций администрации и её структурных подразделений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Руководствоваться нормативными затратами на обеспечение функций администрации и её структурных подразделений. Использование перечня отдельных видов товаров, работ, услуг, закупаемых администрацией и её структурных подразделений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Обоснование начальных (максимальных) цен контрактов.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контракта. Получение ценовых предложений от поставщиков, имеющих аффилированные связи с должностными лицами заказчика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Контрактный управляющий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Проведение мониторинга цен на товары, работы или услуги в целях недопущения завышения начальных (максимальных) цен контрактов при осуществлении закупки. Получение ценовых предложений от широкого круга поставщиков (подрядчиков, исполнителей).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Выбор способа осуществления закупки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Искусственное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Руководитель,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Контрактный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управляющий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Недопустимость необоснованного дробления закупок, влекущего за собой уход от конкурентных процедур.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Осуществление контроля на комиссии по повышении эффективности осуществления закупок. 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Подготовка заявки на закупку (технико-экономического задания)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Установление необоснованных преимуществ для отдельных лиц при осуществлении закупок товаров, работ, услуг.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Контрактный управляющий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Установление единых требований к участникам закупки, соблюдение правил описания закупки.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Исключение умышленного, неправомерного включения в заявку на закупку (технико-экономического задания) условий, ограничивающих конкуренцию.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Определение поставщика (подрядчика, исполнителя) путем проведения электронного аукциона.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Наличие аффилированных связей у участников закупок </w:t>
            </w:r>
            <w:r>
              <w:rPr>
                <w:rFonts w:eastAsia="Calibri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с членами комиссии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Члены комиссии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>Определение поставщика (подрядчика, исполнителя) путем проведения электронного аукциона.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PT Astra Serif" w:hAnsi="PT Astra Serif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sz w:val="22"/>
                <w:szCs w:val="22"/>
                <w:lang w:val="ru-RU" w:eastAsia="en-US" w:bidi="ar-SA"/>
              </w:rPr>
              <w:t xml:space="preserve">Проведение анализа информации о возможности наличия аффилированных связей у участников закупок </w:t>
            </w:r>
            <w:r>
              <w:rPr>
                <w:rFonts w:eastAsia="Calibri" w:ascii="PT Astra Serif" w:hAnsi="PT Astra Serif"/>
                <w:color w:val="000000"/>
                <w:kern w:val="0"/>
                <w:sz w:val="22"/>
                <w:szCs w:val="22"/>
                <w:lang w:val="ru-RU" w:eastAsia="en-US" w:bidi="ar-SA"/>
              </w:rPr>
              <w:t>с членами комиссии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Колонтитул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Style16">
    <w:name w:val="Header"/>
    <w:basedOn w:val="Normal"/>
    <w:pPr>
      <w:tabs>
        <w:tab w:val="clear" w:pos="1134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LibreOffice/7.3.2.2$Windows_X86_64 LibreOffice_project/49f2b1bff42cfccbd8f788c8dc32c1c309559be0</Application>
  <AppVersion>15.0000</AppVersion>
  <Pages>2</Pages>
  <Words>346</Words>
  <Characters>2857</Characters>
  <CharactersWithSpaces>3163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2023-04-07T11:43:42Z</dcterms:modified>
  <cp:revision>4</cp:revision>
  <dc:subject/>
  <dc:title/>
</cp:coreProperties>
</file>