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  <w:highlight w:val="white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highlight w:val="white"/>
        </w:rPr>
        <w:t>Доклад</w:t>
      </w:r>
    </w:p>
    <w:p>
      <w:pPr>
        <w:pStyle w:val="Style2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«О</w:t>
      </w:r>
      <w:r>
        <w:rPr>
          <w:rFonts w:ascii="PT Astra Serif" w:hAnsi="PT Astra Serif"/>
          <w:b/>
          <w:bCs/>
          <w:sz w:val="28"/>
          <w:szCs w:val="28"/>
        </w:rPr>
        <w:t xml:space="preserve"> деятельности органов местного самоуправления муниципального образования «</w:t>
      </w:r>
      <w:r>
        <w:rPr>
          <w:rFonts w:ascii="PT Astra Serif" w:hAnsi="PT Astra Serif"/>
          <w:b/>
          <w:bCs/>
          <w:sz w:val="28"/>
          <w:szCs w:val="28"/>
        </w:rPr>
        <w:t xml:space="preserve">Тереньгульский район» </w:t>
      </w:r>
      <w:r>
        <w:rPr>
          <w:rFonts w:ascii="PT Astra Serif" w:hAnsi="PT Astra Serif"/>
          <w:b/>
          <w:bCs/>
          <w:sz w:val="28"/>
          <w:szCs w:val="28"/>
        </w:rPr>
        <w:t xml:space="preserve">в области противодействия коррупции </w:t>
      </w:r>
      <w:r>
        <w:rPr>
          <w:rFonts w:ascii="PT Astra Serif" w:hAnsi="PT Astra Serif"/>
          <w:b/>
          <w:bCs/>
          <w:sz w:val="28"/>
          <w:szCs w:val="28"/>
        </w:rPr>
        <w:t>за 2021 год»</w:t>
      </w:r>
    </w:p>
    <w:p>
      <w:pPr>
        <w:pStyle w:val="Style20"/>
        <w:spacing w:before="0" w:after="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highlight w:val="white"/>
        </w:rPr>
        <w:tab/>
        <w:t>Реализация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государственной антикоррупционной политики является одним из важнейших направлений деятельности администрации Тереньгульского района, структурных подразделений и подведомственных учреждений района.</w:t>
      </w:r>
    </w:p>
    <w:p>
      <w:pPr>
        <w:pStyle w:val="Style20"/>
        <w:spacing w:before="0" w:after="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Антикоррупционная работа в муниципальном образовании  в 2021 году проводилась в соответствии с м</w:t>
      </w:r>
      <w:r>
        <w:rPr>
          <w:rFonts w:eastAsia="Times New Roman" w:ascii="PT Astra Serif" w:hAnsi="PT Astra Serif"/>
          <w:color w:val="000000"/>
          <w:sz w:val="28"/>
          <w:szCs w:val="28"/>
          <w:lang w:eastAsia="ru-RU"/>
        </w:rPr>
        <w:t xml:space="preserve">униципальной программой </w:t>
      </w:r>
      <w:r>
        <w:rPr>
          <w:rFonts w:eastAsia="Times New Roman" w:ascii="PT Astra Serif" w:hAnsi="PT Astra Serif"/>
          <w:color w:val="000000"/>
          <w:sz w:val="28"/>
          <w:szCs w:val="28"/>
          <w:lang w:eastAsia="ar-SA"/>
        </w:rPr>
        <w:t>«</w:t>
      </w:r>
      <w:r>
        <w:rPr>
          <w:rFonts w:eastAsia="Times New Roman" w:ascii="PT Astra Serif" w:hAnsi="PT Astra Serif"/>
          <w:color w:val="000000"/>
          <w:sz w:val="28"/>
          <w:szCs w:val="28"/>
          <w:lang w:eastAsia="ru-RU"/>
        </w:rPr>
        <w:t xml:space="preserve">Противодействие коррупции в муниципальном образовании «Тереньгульский район» на 2019-2021 годы». </w:t>
      </w: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Ежеквартально проводится мониторинг выполнения мероприятий программы, анализ их эффективности, подготовка предложений о внесении корректировок для обеспечения достижения установленных значений и показателей. 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В проведении антикоррупционного мониторинга на территории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>муниципального образования «Тереньгульский рай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он» в 2021 году принимали участие в рамках своей компетенции: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>а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>Тереньгульского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 района,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её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отраслевые (функциональные) органы, наделенные правами юридического лица; учреждения, подведомственные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>а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дминистрации  района;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>1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 городск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>ое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 и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>5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eastAsia="ru-RU"/>
        </w:rPr>
        <w:t xml:space="preserve"> сельских поселений  района.</w:t>
      </w:r>
    </w:p>
    <w:p>
      <w:pPr>
        <w:pStyle w:val="Style20"/>
        <w:spacing w:before="0" w:after="6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ab/>
        <w:t xml:space="preserve">Противодействие коррупции является одним из направлений муниципальной политики, без реализации которого невозможно обеспечение конституционных прав и свобод человека и гражданина, достойной жизни и свободного развития личности. </w:t>
      </w:r>
    </w:p>
    <w:p>
      <w:pPr>
        <w:pStyle w:val="Style20"/>
        <w:spacing w:before="0" w:after="6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ab/>
        <w:t>О</w:t>
      </w:r>
      <w:r>
        <w:rPr>
          <w:rFonts w:ascii="PT Astra Serif" w:hAnsi="PT Astra Serif"/>
          <w:sz w:val="28"/>
          <w:szCs w:val="28"/>
        </w:rPr>
        <w:t xml:space="preserve">дним из приоритетов антикоррупционной политики, реализуемой в </w:t>
      </w:r>
      <w:r>
        <w:rPr>
          <w:rFonts w:ascii="PT Astra Serif" w:hAnsi="PT Astra Serif"/>
          <w:sz w:val="28"/>
          <w:szCs w:val="28"/>
        </w:rPr>
        <w:t>Тереньгульском</w:t>
      </w:r>
      <w:r>
        <w:rPr>
          <w:rFonts w:ascii="PT Astra Serif" w:hAnsi="PT Astra Serif"/>
          <w:sz w:val="28"/>
          <w:szCs w:val="28"/>
        </w:rPr>
        <w:t xml:space="preserve"> районе, является обеспечение конструктивного взаимодействия институтов гражданского общества с органами местного самоуправления района.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Это взаимодействие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осуществляется посредством участия в антикоррупционных мероприятиях, проводимых администрацией района, а также путём осуществления общественного контроля со стороны  местного отделения Региональной Палаты справедливости и общественного контроля, Общественной палаты Тереньгульского района и </w:t>
      </w:r>
      <w:bookmarkStart w:id="0" w:name="__DdeLink__422_1438156154"/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Межведомственной комиссии по противодействию коррупции </w:t>
      </w:r>
      <w:bookmarkEnd w:id="0"/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района за деятельностью органов местного самоуправления.  </w:t>
      </w:r>
    </w:p>
    <w:p>
      <w:pPr>
        <w:pStyle w:val="Style20"/>
        <w:jc w:val="both"/>
        <w:rPr/>
      </w:pPr>
      <w:r>
        <w:rPr>
          <w:rFonts w:ascii="PT Astra Serif" w:hAnsi="PT Astra Serif"/>
          <w:sz w:val="28"/>
          <w:szCs w:val="28"/>
        </w:rPr>
        <w:tab/>
        <w:t xml:space="preserve">На плановой основе организована работа Межведомственной комиссии по противодействию коррупции </w:t>
      </w:r>
      <w:r>
        <w:rPr>
          <w:rFonts w:ascii="PT Astra Serif" w:hAnsi="PT Astra Serif"/>
          <w:sz w:val="28"/>
          <w:szCs w:val="28"/>
        </w:rPr>
        <w:t>муниципального образования «Тереньгульский район»</w:t>
      </w:r>
      <w:r>
        <w:rPr>
          <w:rFonts w:ascii="PT Astra Serif" w:hAnsi="PT Astra Serif"/>
          <w:sz w:val="28"/>
          <w:szCs w:val="28"/>
        </w:rPr>
        <w:t xml:space="preserve">. Периодически заседания Межведомственной комиссии проводятся совместно с Штабом местного отделения Палаты справедливости и общественного контроля </w:t>
      </w:r>
      <w:r>
        <w:rPr>
          <w:rFonts w:ascii="PT Astra Serif" w:hAnsi="PT Astra Serif"/>
          <w:sz w:val="28"/>
          <w:szCs w:val="28"/>
        </w:rPr>
        <w:t>Ульяновской области, Общественной палатой района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>В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 xml:space="preserve"> 2021 году было проведено 9 заседаний Межведомственной комиссии по противодействию коррупции,  рассмотрено 35 вопросов, из которых 4 вопроса  касались ЖКХ, строительства и транспорта; 3 — образования, здравоохранения -2, дорожного хозяйства — 6. На 2 заседаниях рассматривались вопросы связанные  с нецелевым, неэффективным расходованием бюджетных средств.</w:t>
      </w:r>
    </w:p>
    <w:p>
      <w:pPr>
        <w:pStyle w:val="Style20"/>
        <w:spacing w:before="0" w:after="0"/>
        <w:jc w:val="both"/>
        <w:rPr/>
      </w:pP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highlight w:val="white"/>
          <w:lang w:eastAsia="en-US"/>
        </w:rPr>
        <w:tab/>
        <w:t>Р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highlight w:val="white"/>
          <w:lang w:eastAsia="en-US"/>
        </w:rPr>
        <w:t xml:space="preserve">абота по антикоррупционному просвещению граждан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highlight w:val="white"/>
          <w:lang w:eastAsia="en-US"/>
        </w:rPr>
        <w:t xml:space="preserve">проводится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highlight w:val="white"/>
          <w:lang w:eastAsia="en-US"/>
        </w:rPr>
        <w:t>в рамках</w:t>
      </w:r>
      <w:r>
        <w:rPr>
          <w:rFonts w:eastAsia="Times New Roman" w:cs="PT Astra Serif" w:ascii="PT Astra Serif" w:hAnsi="PT Astra Serif"/>
          <w:color w:val="000000"/>
          <w:spacing w:val="2"/>
          <w:sz w:val="28"/>
          <w:szCs w:val="28"/>
          <w:highlight w:val="white"/>
          <w:lang w:eastAsia="en-US"/>
        </w:rPr>
        <w:t xml:space="preserve"> Международного дня борьбы с коррупцией, «Недели антикоррупционных инициатив», </w:t>
      </w:r>
      <w:r>
        <w:rPr>
          <w:rFonts w:eastAsia="Times New Roman" w:cs="PT Astra Serif" w:ascii="PT Astra Serif" w:hAnsi="PT Astra Serif"/>
          <w:color w:val="000000"/>
          <w:spacing w:val="2"/>
          <w:sz w:val="28"/>
          <w:szCs w:val="28"/>
          <w:highlight w:val="white"/>
          <w:lang w:eastAsia="en-US"/>
        </w:rPr>
        <w:t xml:space="preserve">так и посредством размещения антикоррупционных материалов на официальном сайте администрации района в сети Интернет. </w:t>
      </w:r>
      <w:r>
        <w:rPr>
          <w:rFonts w:eastAsia="Times New Roman" w:cs="Times New Roman" w:ascii="PT Astra Serif" w:hAnsi="PT Astra Serif"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За 2021 год в группах «Родной Тереньгульский район» в социальных сетях «Одноклассники», «Вконтакте», «Инстаграм», Фейсбук» было размещено 22 заметки антикоррупционной направленности, на сайте администрации района размещено 36 заметок антикоррупционной направленности.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en-US"/>
        </w:rPr>
        <w:t>В</w:t>
      </w:r>
      <w:r>
        <w:rPr>
          <w:rFonts w:eastAsia="Times New Roman" w:cs="PT Astra Serif" w:ascii="PT Astra Serif" w:hAnsi="PT Astra Serif"/>
          <w:b/>
          <w:bCs w:val="false"/>
          <w:color w:val="000000"/>
          <w:spacing w:val="2"/>
          <w:kern w:val="2"/>
          <w:sz w:val="28"/>
          <w:szCs w:val="28"/>
          <w:highlight w:val="white"/>
          <w:shd w:fill="FFFFFF" w:val="clear"/>
          <w:lang w:eastAsia="en-US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shd w:fill="FFFFFF" w:val="clear"/>
          <w:lang w:eastAsia="en-US"/>
        </w:rPr>
        <w:t xml:space="preserve">газете «Тереньгульские вести»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>по теме коррупции было размещено 14 публикаций. В</w:t>
      </w:r>
      <w:r>
        <w:rPr>
          <w:rFonts w:eastAsia="Times New Roman" w:cs="PT Astra Serif" w:ascii="PT Astra Serif" w:hAnsi="PT Astra Serif"/>
          <w:color w:val="000000"/>
          <w:spacing w:val="2"/>
          <w:sz w:val="28"/>
          <w:szCs w:val="28"/>
          <w:highlight w:val="white"/>
          <w:lang w:eastAsia="en-US"/>
        </w:rPr>
        <w:t xml:space="preserve"> сельских домах культуры и библиотеках регулярно работают тематические выставки, проходят конкурсы творческих работ «Коррупция глазами детей», информационные часы, направленные на антикоррупционное  просвещение и пропаганду. </w:t>
      </w:r>
      <w:r>
        <w:rPr>
          <w:rFonts w:eastAsia="Times New Roman" w:cs="PT Astra Serif" w:ascii="PT Astra Serif" w:hAnsi="PT Astra Serif"/>
          <w:color w:val="000000"/>
          <w:spacing w:val="2"/>
          <w:sz w:val="28"/>
          <w:szCs w:val="28"/>
          <w:highlight w:val="white"/>
          <w:lang w:eastAsia="ru-RU"/>
        </w:rPr>
        <w:t>Для своевременного доведения до населения информации о деятельности администрации района текущая информация размещается</w:t>
      </w:r>
      <w:r>
        <w:rPr>
          <w:rFonts w:eastAsia="Times New Roman" w:cs="PT Astra Serif" w:ascii="PT Astra Serif" w:hAnsi="PT Astra Serif"/>
          <w:color w:val="000000"/>
          <w:spacing w:val="2"/>
          <w:sz w:val="28"/>
          <w:szCs w:val="28"/>
          <w:highlight w:val="white"/>
          <w:lang w:eastAsia="en-US"/>
        </w:rPr>
        <w:t xml:space="preserve"> на официальном сайте в </w:t>
      </w:r>
      <w:r>
        <w:rPr>
          <w:rFonts w:eastAsia="Times New Roman" w:cs="Arial" w:ascii="PT Astra Serif" w:hAnsi="PT Astra Serif"/>
          <w:color w:val="000000"/>
          <w:spacing w:val="2"/>
          <w:sz w:val="28"/>
          <w:szCs w:val="28"/>
          <w:highlight w:val="white"/>
          <w:lang w:eastAsia="ru-RU"/>
        </w:rPr>
        <w:t>раздел</w:t>
      </w:r>
      <w:r>
        <w:rPr>
          <w:rFonts w:eastAsia="Times New Roman" w:cs="Arial" w:ascii="PT Astra Serif" w:hAnsi="PT Astra Serif"/>
          <w:color w:val="000000"/>
          <w:spacing w:val="2"/>
          <w:sz w:val="28"/>
          <w:szCs w:val="28"/>
          <w:highlight w:val="white"/>
          <w:lang w:eastAsia="ru-RU"/>
        </w:rPr>
        <w:t>е</w:t>
      </w:r>
      <w:r>
        <w:rPr>
          <w:rFonts w:eastAsia="Times New Roman" w:cs="Arial" w:ascii="PT Astra Serif" w:hAnsi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PT Astra Serif" w:ascii="PT Astra Serif" w:hAnsi="PT Astra Serif"/>
          <w:color w:val="000000"/>
          <w:spacing w:val="2"/>
          <w:sz w:val="28"/>
          <w:szCs w:val="28"/>
          <w:highlight w:val="white"/>
          <w:lang w:eastAsia="ru-RU"/>
        </w:rPr>
        <w:t xml:space="preserve">«Антикоррупция». В разделе размещены нормативно-правовая база и методические материалы в сфере противодействия коррупции. </w:t>
      </w:r>
      <w:r>
        <w:rPr>
          <w:rFonts w:eastAsia="Times New Roman" w:cs="PT Astra Serif" w:ascii="PT Astra Serif" w:hAnsi="PT Astra Serif"/>
          <w:color w:val="000000"/>
          <w:spacing w:val="2"/>
          <w:sz w:val="28"/>
          <w:szCs w:val="28"/>
          <w:highlight w:val="white"/>
          <w:lang w:eastAsia="en-US"/>
        </w:rPr>
        <w:t xml:space="preserve">В целях принятия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в администрации района и администрациях сельских поселений установлены стенды на антикоррупционную тематику.  </w:t>
      </w:r>
      <w:r>
        <w:rPr>
          <w:rFonts w:eastAsia="Times New Roman" w:cs="Times New Roman" w:ascii="PT Astra Serif" w:hAnsi="PT Astra Serif"/>
          <w:b w:val="false"/>
          <w:color w:val="000000"/>
          <w:sz w:val="28"/>
          <w:szCs w:val="28"/>
          <w:lang w:eastAsia="ru-RU"/>
        </w:rPr>
        <w:t>Н</w:t>
      </w:r>
      <w:r>
        <w:rPr>
          <w:rFonts w:eastAsia="Times New Roman" w:cs="PT Astra Serif" w:ascii="PT Astra Serif" w:hAnsi="PT Astra Serif"/>
          <w:b w:val="false"/>
          <w:color w:val="000000"/>
          <w:sz w:val="28"/>
          <w:szCs w:val="28"/>
          <w:lang w:eastAsia="ru-RU"/>
        </w:rPr>
        <w:t xml:space="preserve">а постоянной основе работает «антикоррупционная </w:t>
      </w:r>
      <w:r>
        <w:rPr>
          <w:rFonts w:eastAsia="Times New Roman" w:cs="PT Astra Serif" w:ascii="PT Astra Serif" w:hAnsi="PT Astra Serif"/>
          <w:b w:val="false"/>
          <w:color w:val="000000"/>
          <w:sz w:val="28"/>
          <w:szCs w:val="28"/>
          <w:lang w:eastAsia="ru-RU"/>
        </w:rPr>
        <w:t>горячая</w:t>
      </w:r>
      <w:r>
        <w:rPr>
          <w:rFonts w:eastAsia="Times New Roman" w:cs="PT Astra Serif" w:ascii="PT Astra Serif" w:hAnsi="PT Astra Serif"/>
          <w:b w:val="false"/>
          <w:color w:val="000000"/>
          <w:sz w:val="28"/>
          <w:szCs w:val="28"/>
          <w:lang w:eastAsia="ru-RU"/>
        </w:rPr>
        <w:t xml:space="preserve"> линия» </w:t>
      </w:r>
      <w:r>
        <w:rPr>
          <w:rFonts w:eastAsia="Times New Roman" w:cs="PT Astra Serif" w:ascii="PT Astra Serif" w:hAnsi="PT Astra Serif"/>
          <w:b w:val="false"/>
          <w:bCs/>
          <w:color w:val="000000"/>
          <w:sz w:val="28"/>
          <w:szCs w:val="28"/>
          <w:lang w:eastAsia="ru-RU"/>
        </w:rPr>
        <w:t xml:space="preserve"> «ящики доверия», п</w:t>
      </w:r>
      <w:r>
        <w:rPr>
          <w:rFonts w:eastAsia="Times New Roman" w:cs="PT Astra Serif" w:ascii="PT Astra Serif" w:hAnsi="PT Astra Serif"/>
          <w:b w:val="false"/>
          <w:color w:val="000000"/>
          <w:sz w:val="28"/>
          <w:szCs w:val="28"/>
          <w:lang w:eastAsia="ru-RU"/>
        </w:rPr>
        <w:t xml:space="preserve">ри этом о фактах коррупционных правонарушений, неправомерных, противоправных действиях, о некорректном поведении муниципальных служащих администрации и работников подведомственного учреждения не сообщалось.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Выемка корреспонденции производится не реже 1 раза в месяц, при выемке составляются соответствующие акты</w:t>
      </w:r>
      <w:r>
        <w:rPr>
          <w:rFonts w:eastAsia="Times New Roman" w:cs="PT Astra Serif" w:ascii="PT Astra Serif" w:hAnsi="PT Astra Serif"/>
          <w:b w:val="false"/>
          <w:color w:val="000000"/>
          <w:sz w:val="28"/>
          <w:szCs w:val="28"/>
          <w:lang w:eastAsia="ru-RU"/>
        </w:rPr>
        <w:t xml:space="preserve">.  </w:t>
      </w:r>
      <w:r>
        <w:rPr>
          <w:rFonts w:ascii="PT Astra Serif" w:hAnsi="PT Astra Serif"/>
          <w:sz w:val="28"/>
          <w:szCs w:val="28"/>
        </w:rPr>
        <w:t xml:space="preserve">Кроме того, на официальном сайте администрации функционирует раздел обратной связи (Виртуальная приёмная), позволяющий гражданам и представителям организаций различных форм собственности сообщать об известных им фактах коррупции, в том числе на условиях анонимности. </w:t>
      </w:r>
    </w:p>
    <w:p>
      <w:pPr>
        <w:pStyle w:val="Style20"/>
        <w:spacing w:before="0" w:after="0"/>
        <w:jc w:val="both"/>
        <w:rPr/>
      </w:pP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ab/>
        <w:t>В целях выявления коррупционных правонарушений, совершенных муниципальными служащими, ежеквартально осуществляется анализ жалоб и обращений граждан на предмет выявления фактов коррупции и коррупционно-опасных факторов в деятельности органов местного самоуправления.  В 2021 году в администрацию района по всем вопросам поступило 242 обращения.  В сельские поселения обращений граждан и организаций не поступало. Обращени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>я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 xml:space="preserve">  по возможным фактам коррупции в 2021 году не 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>поступали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>.</w:t>
      </w:r>
    </w:p>
    <w:p>
      <w:pPr>
        <w:pStyle w:val="Style20"/>
        <w:spacing w:before="0" w:after="0"/>
        <w:jc w:val="both"/>
        <w:rPr/>
      </w:pPr>
      <w:r>
        <w:rPr>
          <w:rFonts w:eastAsia="Times New Roman" w:cs="PT Astra Serif" w:ascii="PT Astra Serif" w:hAnsi="PT Astra Serif"/>
          <w:b w:val="false"/>
          <w:bCs/>
          <w:color w:val="000000"/>
          <w:spacing w:val="2"/>
          <w:sz w:val="28"/>
          <w:szCs w:val="28"/>
          <w:lang w:eastAsia="ru-RU"/>
        </w:rPr>
        <w:tab/>
        <w:t xml:space="preserve">Приоритетным направлением противодействия коррупции при ведении кадровой политики в </w:t>
      </w:r>
      <w:r>
        <w:rPr>
          <w:rFonts w:eastAsia="Times New Roman" w:cs="PT Astra Serif" w:ascii="PT Astra Serif" w:hAnsi="PT Astra Serif"/>
          <w:b w:val="false"/>
          <w:bCs/>
          <w:color w:val="000000"/>
          <w:spacing w:val="2"/>
          <w:sz w:val="28"/>
          <w:szCs w:val="28"/>
          <w:lang w:eastAsia="ru-RU"/>
        </w:rPr>
        <w:t>а</w:t>
      </w:r>
      <w:r>
        <w:rPr>
          <w:rFonts w:eastAsia="Times New Roman" w:cs="PT Astra Serif" w:ascii="PT Astra Serif" w:hAnsi="PT Astra Serif"/>
          <w:b w:val="false"/>
          <w:bCs/>
          <w:color w:val="000000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eastAsia="Times New Roman" w:cs="PT Astra Serif" w:ascii="PT Astra Serif" w:hAnsi="PT Astra Serif"/>
          <w:b w:val="false"/>
          <w:bCs/>
          <w:color w:val="000000"/>
          <w:spacing w:val="2"/>
          <w:sz w:val="28"/>
          <w:szCs w:val="28"/>
          <w:lang w:eastAsia="ru-RU"/>
        </w:rPr>
        <w:t xml:space="preserve">Тереньгульского </w:t>
      </w:r>
      <w:r>
        <w:rPr>
          <w:rFonts w:eastAsia="Times New Roman" w:cs="PT Astra Serif" w:ascii="PT Astra Serif" w:hAnsi="PT Astra Serif"/>
          <w:b w:val="false"/>
          <w:bCs/>
          <w:color w:val="000000"/>
          <w:spacing w:val="2"/>
          <w:sz w:val="28"/>
          <w:szCs w:val="28"/>
          <w:lang w:eastAsia="ru-RU"/>
        </w:rPr>
        <w:t xml:space="preserve">района является предупреждение, то есть устранение или минимизация факторов, порождающих коррупцию или способствующих ее распространению.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 xml:space="preserve">В рамках проведения разъяснительных мероприятий антикоррупционного законодательства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 xml:space="preserve">среди сотрудников администрации района и поселений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>пров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 xml:space="preserve">едено 3 семинара, 14 консультаций  муниципальных служащих.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 xml:space="preserve"> В 2021 году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>в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 xml:space="preserve"> целях развития и совершенствования компетенции специалистов в сфере противодействия коррупции 4 муниципальных служащих прошли обучение по антикоррупционной тематике на базе Корпоративного университета Ульяновской области. </w:t>
      </w:r>
    </w:p>
    <w:p>
      <w:pPr>
        <w:pStyle w:val="Style20"/>
        <w:spacing w:before="0" w:after="0"/>
        <w:jc w:val="both"/>
        <w:rPr/>
      </w:pPr>
      <w:r>
        <w:rPr>
          <w:rStyle w:val="Style13"/>
          <w:rFonts w:ascii="PT Astra Serif" w:hAnsi="PT Astra Serif"/>
          <w:color w:val="000000"/>
          <w:sz w:val="28"/>
          <w:szCs w:val="28"/>
          <w:u w:val="none"/>
        </w:rPr>
        <w:tab/>
        <w:t>С лицами, впервые поступающими на муниципальную службу, проводятся вводные беседы по разъяснению ограничений и запретов, требований к служебному поведению, установленных законодательством о противодействии коррупции, с целью формирования у данных лиц устойчивого убеждения о недопустимости совершения в процессе служебной деятельности правонарушений коррупционной направленности.</w:t>
      </w:r>
    </w:p>
    <w:p>
      <w:pPr>
        <w:pStyle w:val="Style20"/>
        <w:spacing w:before="0" w:after="0"/>
        <w:jc w:val="both"/>
        <w:rPr/>
      </w:pPr>
      <w:r>
        <w:rPr>
          <w:rStyle w:val="Style13"/>
          <w:rFonts w:ascii="PT Astra Serif" w:hAnsi="PT Astra Serif"/>
          <w:color w:val="000000"/>
          <w:sz w:val="28"/>
          <w:szCs w:val="28"/>
          <w:u w:val="none"/>
        </w:rPr>
        <w:tab/>
        <w:t xml:space="preserve">Сведения об адресах сайтов и (или) страниц сайтов в информационно-телекоммуникационной сети «Интернет», на которых муниципальными служащими размещались общедоступная информация, а также данные, позволяющие их идентифицировать, представлены согласно утвержденной форме и сроку предоставления и размещены в личных делах. </w:t>
      </w:r>
    </w:p>
    <w:p>
      <w:pPr>
        <w:pStyle w:val="Style20"/>
        <w:spacing w:before="0" w:after="0"/>
        <w:jc w:val="both"/>
        <w:rPr/>
      </w:pP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ru-RU"/>
        </w:rPr>
        <w:tab/>
        <w:t xml:space="preserve">В </w:t>
      </w:r>
      <w:r>
        <w:rPr>
          <w:rFonts w:ascii="PT Astra Serif" w:hAnsi="PT Astra Serif"/>
          <w:sz w:val="28"/>
          <w:szCs w:val="28"/>
        </w:rPr>
        <w:t xml:space="preserve"> целях исполнения мероприятий планов по противодействию коррупции в органах местного самоуправления организована работа по сбору, анализу и проверке сведений о доходах, расходах, об имуществе и обязательствах имущественного характера, представленных муниципальными служащими. Сведения о доходах, расходах, об имуществе и обязательствах имущественного характера муниципальных служащих 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дминистрации  района, руководителей муниципальных учреждений, подведомственных 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дминистрации, размещены в установленный срок на официальном сайте 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>
        <w:rPr>
          <w:rFonts w:ascii="PT Astra Serif" w:hAnsi="PT Astra Serif"/>
          <w:sz w:val="28"/>
          <w:szCs w:val="28"/>
        </w:rPr>
        <w:t xml:space="preserve">дним из ограничений, установленных Федеральным законом от 02.03.2007 № 25 - ФЗ «О муниципальной службе в Российской Федерации» (ст.13) при наличии которого гражданин не может быть принят на муниципальную службу, а муниципальный служащий не может находиться на муниципальной службе, является наличие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 В ходе проведения анализа материалов личных дел муниципальных служащих осуществлялся контроль за соблюдением установленных законом ограничений (в случае наличия близкого родства или свойства с муниципальным служащим, если замещение должности связано с непосредственной подчиненностью или подконтрольностью одного из них другому). </w:t>
      </w:r>
      <w:r>
        <w:rPr>
          <w:rFonts w:ascii="PT Astra Serif" w:hAnsi="PT Astra Serif"/>
          <w:sz w:val="28"/>
          <w:szCs w:val="28"/>
        </w:rPr>
        <w:t>Ц</w:t>
      </w:r>
      <w:r>
        <w:rPr>
          <w:rFonts w:ascii="PT Astra Serif" w:hAnsi="PT Astra Serif"/>
          <w:sz w:val="28"/>
          <w:szCs w:val="28"/>
        </w:rPr>
        <w:t xml:space="preserve">ель анализа: предупредить и выявить случаи возникновения конфликта интересов на муниципальной службе, определить круг муниципальных служащих, у которых может возникнуть конфликт интересов при исполнении ими должностных обязанностей. </w:t>
      </w:r>
      <w:r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/>
          <w:sz w:val="28"/>
          <w:szCs w:val="28"/>
        </w:rPr>
        <w:t>установлены родственные связи, которые влияют на возникновение конфликта интересов при исполнении ими служебных обязанностей.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ab/>
        <w:t xml:space="preserve">В соответствии с требованиями, предусмотренными Федеральным законом от 25.12.2008 № 273-ФЗ «О противодействии коррупции», муниципальные служащие уведомляют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  <w:r>
        <w:rPr>
          <w:rFonts w:eastAsia="Times New Roman" w:cs="PT Astra Serif" w:ascii="PT Astra Serif" w:hAnsi="PT Astra Serif"/>
          <w:b w:val="false"/>
          <w:bCs/>
          <w:color w:val="000000"/>
          <w:spacing w:val="2"/>
          <w:sz w:val="28"/>
          <w:szCs w:val="28"/>
          <w:lang w:eastAsia="ru-RU"/>
        </w:rPr>
        <w:t>В 2021 году уведомлений муниципальных служащих о фактах обращений в целях склонения их к совершению коррупционных правонарушений не поступало.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pacing w:val="2"/>
          <w:kern w:val="2"/>
          <w:sz w:val="28"/>
          <w:szCs w:val="28"/>
          <w:highlight w:val="white"/>
          <w:lang w:eastAsia="ru-RU"/>
        </w:rPr>
        <w:tab/>
      </w:r>
      <w:r>
        <w:rPr>
          <w:rFonts w:eastAsia="Times New Roman" w:cs="Times New Roman" w:ascii="PT Astra Serif" w:hAnsi="PT Astra Serif"/>
          <w:color w:val="000000"/>
          <w:spacing w:val="2"/>
          <w:kern w:val="2"/>
          <w:sz w:val="28"/>
          <w:szCs w:val="28"/>
          <w:highlight w:val="white"/>
          <w:lang w:eastAsia="ru-RU"/>
        </w:rPr>
        <w:t>В администрации района создана</w:t>
      </w:r>
      <w:r>
        <w:rPr>
          <w:rFonts w:eastAsia="Times New Roman" w:cs="Times New Roman" w:ascii="PT Astra Serif" w:hAnsi="PT Astra Serif"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 Комиссия по соблюдению требований к должностному поведению лиц, замещающих должности муниципальной службы и урегулированию конфликта интересов. 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администрации муниципального образования «Тереньгульский район» и в её отраслевых (функциональных) органах.  </w:t>
      </w:r>
      <w:r>
        <w:rPr>
          <w:rFonts w:eastAsia="Times New Roman" w:cs="Times New Roman" w:ascii="PT Astra Serif" w:hAnsi="PT Astra Serif"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В органах местного самоуправления сельских поселений созданы аналогичные комиссии.  </w:t>
      </w: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>За 2021 год проведено 13 заседаний Комисси</w:t>
      </w: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й, на которых </w:t>
      </w: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 рассмотрены: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- 4 материала, касающиеся </w:t>
      </w: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>представления</w:t>
      </w: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 муниципальными служащими недостоверных или неполных сведений о доходах, об имуществе и обязательствах имущественного характера;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>- 13 заявлений, касающихся д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>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договора;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- 1 обращение,  касающееся невозможности по объективным причинам представить сведения о доходах супруги (супруга) и несовершеннолетних детей.</w:t>
      </w:r>
    </w:p>
    <w:p>
      <w:pPr>
        <w:pStyle w:val="Style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 Комиссиях по урегулированию конфликта интересов было установлено 22 нарушения, касающихся соблюдения требований о достоверности и полноте сведений о доходах, об имуществе и обязательствах имущественного характера. К дисциплинарной ответственности привлечено 13 муниципальных служащих, в том числе и глав администраций сельских поселений,  и лиц, замещающих муниципальные должности. 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>В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 2021 году на 2 глав администраций сельских поселений поступали представления прокурора, связанные с нарушениями требований антикоррупционного законодательства. По результатам рассмотрения представлени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й 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в отношении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1 должностного лица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>было применено дисциплинарное наказание в виде замечания</w:t>
      </w:r>
      <w:r>
        <w:rPr>
          <w:rFonts w:eastAsia="SimSun;宋体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zh-CN"/>
        </w:rPr>
        <w:t xml:space="preserve">, </w:t>
      </w:r>
      <w:r>
        <w:rPr>
          <w:rFonts w:eastAsia="SimSun;宋体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zh-CN"/>
        </w:rPr>
        <w:t xml:space="preserve">в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отношении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1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>Главы администрации  поселения  принято решение об увольнении в связи с утратой доверия.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PT Astra Serif" w:ascii="PT Astra Serif" w:hAnsi="PT Astra Serif"/>
          <w:b w:val="false"/>
          <w:bCs w:val="false"/>
          <w:color w:val="000000"/>
          <w:spacing w:val="2"/>
          <w:kern w:val="2"/>
          <w:sz w:val="28"/>
          <w:szCs w:val="28"/>
          <w:highlight w:val="white"/>
          <w:lang w:eastAsia="ru-RU"/>
        </w:rPr>
        <w:tab/>
      </w: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>В муниципальном образовании «</w:t>
      </w: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Тереньгульский район» </w:t>
      </w: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kern w:val="2"/>
          <w:sz w:val="28"/>
          <w:szCs w:val="28"/>
          <w:highlight w:val="white"/>
          <w:lang w:eastAsia="ru-RU"/>
        </w:rPr>
        <w:t xml:space="preserve">налажена работа по проведению антикоррупционной экспертизы. </w:t>
      </w:r>
      <w:r>
        <w:rPr>
          <w:rFonts w:eastAsia="Times New Roman" w:cs="Times New Roman" w:ascii="PT Astra Serif" w:hAnsi="PT Astra Serif"/>
          <w:bCs/>
          <w:sz w:val="28"/>
          <w:szCs w:val="28"/>
        </w:rPr>
        <w:t xml:space="preserve">Антикоррупционная экспертиза нормативных правовых актов и их проектов представляет собой вид юридической деятельности, осуществляемой в целях выявления в них коррупциогенных факторов и их последующего устранения.   В 2021 году  проведена 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</w:rPr>
        <w:t>антико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</w:rPr>
        <w:t>р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</w:rPr>
        <w:t>рупционная экспертиза 374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  проектов нормативных правовых актов, из них 17 проектов по Тереньгульскому городскому поселению, 157 проектов сельских поселений, 200 проектов муниципального района. 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ab/>
        <w:t xml:space="preserve">В целях повышения эффективности взаимодействия с институтами гражданского общества и гражданами на официальном сайте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>а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 xml:space="preserve">дминистрации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 xml:space="preserve">района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 xml:space="preserve">размещаются социально значимые проекты нормативных правовых актов, что дает возможность проведения независимой антикоррупционной экспертизы. Так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 xml:space="preserve">в 2021 году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 xml:space="preserve">независимым экспертом при проведении экспертизы обнаружено  в 5 проектах  наличие  коррупциогенных факторов  (а именно широта дискреционных полномочий — отсутствие или неопределенность сроков, условий или оснований принятия решения, наличие дублирующих полномочий).  Также, для дачи заключения о законности и соответствия действующему законодательству все проекты нормативных правовых актов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>а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 xml:space="preserve">дминистрации района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>и сельских поселений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 xml:space="preserve"> направляются в 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>Тереньгульскую районную</w:t>
      </w:r>
      <w:r>
        <w:rPr>
          <w:rFonts w:eastAsia="Times New Roman" w:cs="Times New Roman" w:ascii="PT Astra Serif" w:hAnsi="PT Astra Serif"/>
          <w:color w:val="000000"/>
          <w:spacing w:val="2"/>
          <w:sz w:val="28"/>
          <w:szCs w:val="28"/>
          <w:lang w:eastAsia="en-US"/>
        </w:rPr>
        <w:t xml:space="preserve"> прокуратуру.</w:t>
      </w:r>
    </w:p>
    <w:p>
      <w:pPr>
        <w:pStyle w:val="Style20"/>
        <w:spacing w:before="0" w:after="0"/>
        <w:jc w:val="both"/>
        <w:rPr/>
      </w:pP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2"/>
          <w:kern w:val="2"/>
          <w:sz w:val="28"/>
          <w:szCs w:val="28"/>
          <w:highlight w:val="white"/>
          <w:u w:val="none"/>
          <w:lang w:eastAsia="en-US"/>
        </w:rPr>
        <w:tab/>
        <w:t>О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2"/>
          <w:kern w:val="2"/>
          <w:sz w:val="28"/>
          <w:szCs w:val="28"/>
          <w:highlight w:val="white"/>
          <w:u w:val="none"/>
          <w:lang w:eastAsia="en-US"/>
        </w:rPr>
        <w:t>существляется мониторинг судебной практики о признании недействительными нормативных правовых актов, незаконными решений и действий (бездействия) органов местного самоуправления.  Внимательно изучаются и исполняются все рекомендации (поручения) совещаний с руководителями юридических служб органов местного самоуправления муниципальных образований Ульяновской области.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lang w:eastAsia="en-US"/>
        </w:rPr>
        <w:tab/>
        <w:t xml:space="preserve">Согласно Указа Президента РФ от 13.04.2010 № 460 одним из основных направлений реализации Национальной стратегии противодействия коррупции является совершенствование условий, процедур и механизмов муниципальных закупок. В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lang w:eastAsia="en-US"/>
        </w:rPr>
        <w:t xml:space="preserve">Тереньгульском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lang w:eastAsia="en-US"/>
        </w:rPr>
        <w:t xml:space="preserve">районе функционирует Комиссия по вопросам повышения эффективности осуществления закупок товаров, работ, услуг для обеспечения муниципальных нужд,  в состав которой входят представители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Межведомственной комиссии по противодействию коррупции Тереньгульского района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и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местного отделения Региональной Палаты справедливости и общественного контроля.  За 2021 году на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данной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комиссии рассмотрено 57 договоров на закупку товаров, работ, услуг на сумму 11 269 819 рублей. Эффективными признаны  49 договоров на сумму 10 528 724 руб.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>В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озвращены заказчикам 8 договоров на сумму 741095 рублей. 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По двум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>договор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>ам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  замечания были устранены,  и договора поступали на рассмотрение комиссии повторно.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>1 д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оговор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повторно </w:t>
      </w: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 xml:space="preserve">на комиссию не поступал.  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PT Astra Serif" w:ascii="PT Astra Serif" w:hAnsi="PT Astra Serif"/>
          <w:b w:val="false"/>
          <w:color w:val="000000"/>
          <w:spacing w:val="2"/>
          <w:sz w:val="28"/>
          <w:szCs w:val="28"/>
          <w:highlight w:val="white"/>
          <w:lang w:eastAsia="en-US"/>
        </w:rPr>
        <w:tab/>
        <w:t xml:space="preserve">В соответствии со статьей 7 Федерального закона от 25.12.2008№ 273-ФЗ «О противодействии коррупции» при осуществлении закупок товаров, работ и услуг соблюдаются принципы добросовестности, открытости, добросовестной конкуренции и объективности.  </w:t>
      </w:r>
      <w:r>
        <w:rPr>
          <w:rFonts w:ascii="PT Astra Serif" w:hAnsi="PT Astra Serif"/>
          <w:sz w:val="28"/>
          <w:szCs w:val="28"/>
        </w:rPr>
        <w:t xml:space="preserve">Соблюдение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 регламентируется Федеральным законом от 26.07.2006 № 135-ФЗ «О защите конкуренции». Муниципальными заказчиками </w:t>
      </w:r>
      <w:r>
        <w:rPr>
          <w:rFonts w:ascii="PT Astra Serif" w:hAnsi="PT Astra Serif"/>
          <w:sz w:val="28"/>
          <w:szCs w:val="28"/>
        </w:rPr>
        <w:t>Тереньгульского</w:t>
      </w:r>
      <w:r>
        <w:rPr>
          <w:rFonts w:ascii="PT Astra Serif" w:hAnsi="PT Astra Serif"/>
          <w:sz w:val="28"/>
          <w:szCs w:val="28"/>
        </w:rPr>
        <w:t xml:space="preserve"> района при проведении торгов исключены действия, которые могут привести к ограничению конкуренции. </w:t>
      </w:r>
      <w:r>
        <w:rPr>
          <w:rFonts w:eastAsia="Times New Roman" w:cs="PT Astra Serif" w:ascii="PT Astra Serif" w:hAnsi="PT Astra Serif"/>
          <w:b w:val="false"/>
          <w:bCs/>
          <w:color w:val="000000"/>
          <w:spacing w:val="2"/>
          <w:sz w:val="28"/>
          <w:szCs w:val="28"/>
          <w:highlight w:val="white"/>
          <w:lang w:eastAsia="ru-RU"/>
        </w:rPr>
        <w:t xml:space="preserve">Организовано добровольное представление служащими (работниками), участвующими в осуществлении закупок, декларации о возможной личной заинтересованности, согласно типовой форме для декларирования служащими (работниками) о возможной личной заинтересованности. </w:t>
      </w:r>
      <w:r>
        <w:rPr>
          <w:rFonts w:eastAsia="Times New Roman" w:cs="PT Astra Serif" w:ascii="PT Astra Serif" w:hAnsi="PT Astra Serif"/>
          <w:b w:val="false"/>
          <w:bCs/>
          <w:color w:val="000000"/>
          <w:spacing w:val="2"/>
          <w:sz w:val="28"/>
          <w:szCs w:val="28"/>
          <w:highlight w:val="white"/>
          <w:lang w:eastAsia="ru-RU"/>
        </w:rPr>
        <w:t>Декларации предоставлены служащими как администрации района, так и сельских поселений.</w:t>
      </w:r>
    </w:p>
    <w:p>
      <w:pPr>
        <w:pStyle w:val="Style20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2"/>
          <w:sz w:val="28"/>
          <w:szCs w:val="28"/>
          <w:highlight w:val="white"/>
          <w:lang w:eastAsia="ru-RU"/>
        </w:rPr>
        <w:tab/>
        <w:t xml:space="preserve">Органами внутреннего и внешнего финансового контроля </w:t>
      </w:r>
      <w:r>
        <w:rPr>
          <w:rFonts w:eastAsia="Times New Roman" w:cs="Times New Roman" w:ascii="PT Astra Serif" w:hAnsi="PT Astra Serif"/>
          <w:b w:val="false"/>
          <w:bCs/>
          <w:color w:val="000000"/>
          <w:spacing w:val="2"/>
          <w:sz w:val="28"/>
          <w:szCs w:val="28"/>
          <w:highlight w:val="white"/>
          <w:lang w:eastAsia="ru-RU"/>
        </w:rPr>
        <w:t>проводятся проверки соблюдения бюджетного законодательства, правомерности и эффективности использования бюджетных средств и имущества.</w:t>
      </w:r>
      <w:r>
        <w:rPr>
          <w:rFonts w:eastAsia="Times New Roman" w:cs="PT Astra Serif" w:ascii="PT Astra Serif" w:hAnsi="PT Astra Serif"/>
          <w:b/>
          <w:bCs/>
          <w:color w:val="000000"/>
          <w:spacing w:val="2"/>
          <w:sz w:val="28"/>
          <w:szCs w:val="28"/>
          <w:highlight w:val="white"/>
          <w:u w:val="single"/>
          <w:lang w:eastAsia="ru-RU"/>
        </w:rPr>
        <w:t xml:space="preserve"> </w:t>
      </w:r>
      <w:r>
        <w:rPr>
          <w:rFonts w:cs="PT Astra Serif" w:ascii="PT Astra Serif" w:hAnsi="PT Astra Serif"/>
          <w:bCs/>
          <w:sz w:val="28"/>
          <w:szCs w:val="28"/>
          <w:u w:val="none"/>
        </w:rPr>
        <w:t xml:space="preserve">За 2021 год МУ Финансовый отдел муниципального образования «Тереньгульский район» проведено 11  проверок, </w:t>
      </w:r>
      <w:r>
        <w:rPr>
          <w:rFonts w:cs="Times New Roman" w:ascii="PT Astra Serif" w:hAnsi="PT Astra Serif"/>
          <w:bCs/>
          <w:i w:val="false"/>
          <w:iCs w:val="false"/>
          <w:sz w:val="28"/>
          <w:szCs w:val="28"/>
          <w:u w:val="none"/>
        </w:rPr>
        <w:t xml:space="preserve">Контрольно-счётной комиссией  муниципального образования «Тереньгульский район» проведено 6 проверок.   </w:t>
      </w:r>
      <w:r>
        <w:rPr>
          <w:rFonts w:cs="Times New Roman" w:ascii="PT Astra Serif" w:hAnsi="PT Astra Serif"/>
          <w:bCs/>
          <w:i w:val="false"/>
          <w:iCs w:val="false"/>
          <w:sz w:val="28"/>
          <w:szCs w:val="28"/>
          <w:u w:val="none"/>
        </w:rPr>
        <w:t xml:space="preserve">Проверки касалась </w:t>
      </w:r>
      <w:bookmarkStart w:id="1" w:name="OLE_LINK7"/>
      <w:bookmarkStart w:id="2" w:name="OLE_LINK8"/>
      <w:r>
        <w:rPr>
          <w:rFonts w:cs="PT Astra Serif" w:ascii="PT Astra Serif" w:hAnsi="PT Astra Serif"/>
          <w:sz w:val="28"/>
          <w:szCs w:val="28"/>
        </w:rPr>
        <w:t>соблюдения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Федерации; отчета об исполнении муниципального задания за 2020 го</w:t>
      </w:r>
      <w:r>
        <w:rPr>
          <w:rFonts w:cs="PT Astra Serif" w:ascii="PT Astra Serif" w:hAnsi="PT Astra Serif"/>
          <w:sz w:val="28"/>
          <w:szCs w:val="28"/>
        </w:rPr>
        <w:t xml:space="preserve">д; </w:t>
      </w:r>
      <w:r>
        <w:rPr>
          <w:rFonts w:cs="PT Astra Serif" w:ascii="PT Astra Serif" w:hAnsi="PT Astra Serif"/>
          <w:sz w:val="28"/>
          <w:szCs w:val="28"/>
        </w:rPr>
        <w:t>целевого и эффективного использования средств бюджета;  предоставлени</w:t>
      </w:r>
      <w:r>
        <w:rPr>
          <w:rFonts w:cs="PT Astra Serif" w:ascii="PT Astra Serif" w:hAnsi="PT Astra Serif"/>
          <w:sz w:val="28"/>
          <w:szCs w:val="28"/>
        </w:rPr>
        <w:t>е</w:t>
      </w:r>
      <w:r>
        <w:rPr>
          <w:rFonts w:cs="PT Astra Serif" w:ascii="PT Astra Serif" w:hAnsi="PT Astra Serif"/>
          <w:sz w:val="28"/>
          <w:szCs w:val="28"/>
        </w:rPr>
        <w:t xml:space="preserve"> субсидии; </w:t>
      </w:r>
      <w:r>
        <w:rPr>
          <w:rFonts w:cs="PT Astra Serif" w:ascii="PT Astra Serif" w:hAnsi="PT Astra Serif"/>
          <w:sz w:val="28"/>
          <w:szCs w:val="28"/>
        </w:rPr>
        <w:t>о</w:t>
      </w:r>
      <w:r>
        <w:rPr>
          <w:rFonts w:cs="PT Astra Serif" w:ascii="PT Astra Serif" w:hAnsi="PT Astra Serif"/>
          <w:sz w:val="28"/>
          <w:szCs w:val="28"/>
        </w:rPr>
        <w:t xml:space="preserve">существления расходов; </w:t>
      </w:r>
      <w:r>
        <w:rPr>
          <w:rFonts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законности и результативности использования бюджетных средств, соблюдения установленного порядка управления и распоряжения муниципальным имуществом,  контроля за законностью, результативностью использования бюджетных средств.</w:t>
      </w:r>
      <w:bookmarkEnd w:id="1"/>
      <w:bookmarkEnd w:id="2"/>
      <w:r>
        <w:rPr>
          <w:rFonts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>За нарушения квалифицированные как нецелевое, неэффективное, неправомерное использование бюджетных средств, по проверк</w:t>
      </w: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>ам</w:t>
      </w:r>
      <w:r>
        <w:rPr>
          <w:rStyle w:val="Style13"/>
          <w:rFonts w:eastAsia="Times New Roman" w:cs="Times New Roman" w:ascii="PT Astra Serif" w:hAnsi="PT Astra Serif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 xml:space="preserve"> </w:t>
      </w: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 xml:space="preserve"> к дисциплинарной ответственности </w:t>
      </w: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 xml:space="preserve">в виде замечания </w:t>
      </w: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 xml:space="preserve">привлечены </w:t>
      </w: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 xml:space="preserve">10 </w:t>
      </w: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>должностны</w:t>
      </w: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>х</w:t>
      </w:r>
      <w:r>
        <w:rPr>
          <w:rStyle w:val="Style13"/>
          <w:rFonts w:eastAsia="Times New Roman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 xml:space="preserve"> лиц.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>К материальной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 xml:space="preserve"> ответственности </w:t>
      </w:r>
      <w:r>
        <w:rPr>
          <w:rStyle w:val="Style13"/>
          <w:rFonts w:eastAsia="Times New Roman" w:cs="PT Astra Serif" w:ascii="PT Astra Serif" w:hAnsi="PT Astra Serif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eastAsia="en-US"/>
        </w:rPr>
        <w:t>привлечено 1 должностное лицо, к административной ответственности  в виде штрафа привлечено 5 должностных лиц.</w:t>
      </w:r>
    </w:p>
    <w:p>
      <w:pPr>
        <w:pStyle w:val="Style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highlight w:val="white"/>
        </w:rPr>
        <w:tab/>
        <w:t xml:space="preserve">Образовательные учреждения 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Тереньгульского 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района, в рамках антикоррупционной деятельности, выступают как средство формирования установок сознания и поведения подрастающего поколения. В школах реализуется правовое обучение и воспитание, проводятся внеурочные занятия по гражданскому образованию, поднимаются вопросы, касающиеся явления коррупции, противодействия коррупции. </w:t>
      </w:r>
      <w:r>
        <w:rPr>
          <w:rFonts w:cs="Times New Roman" w:ascii="PT Astra Serif" w:hAnsi="PT Astra Serif"/>
          <w:color w:val="000000"/>
          <w:sz w:val="28"/>
          <w:szCs w:val="28"/>
          <w:highlight w:val="white"/>
        </w:rPr>
        <w:t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Формирование нетерпимого отношения к коррупции, развитие антикоррупционного мировоззрения 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</w:t>
      </w:r>
    </w:p>
    <w:p>
      <w:pPr>
        <w:pStyle w:val="Style20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  <w:highlight w:val="white"/>
        </w:rPr>
        <w:tab/>
        <w:t>Учебными предметами, содержание которых влияет на осмысление  различных социальных явлений (в том числе и связанных с такими понятиями, как польза, обмен, подарок, благодарность, т.е. с теми терминами, которые в современном обществе ассоциируются с коррупцией), являются «Литератур</w:t>
      </w:r>
      <w:r>
        <w:rPr>
          <w:rFonts w:cs="Times New Roman" w:ascii="PT Astra Serif" w:hAnsi="PT Astra Serif"/>
          <w:color w:val="000000"/>
          <w:sz w:val="28"/>
          <w:szCs w:val="28"/>
          <w:highlight w:val="white"/>
        </w:rPr>
        <w:t>а</w:t>
      </w:r>
      <w:r>
        <w:rPr>
          <w:rFonts w:cs="Times New Roman" w:ascii="PT Astra Serif" w:hAnsi="PT Astra Serif"/>
          <w:color w:val="000000"/>
          <w:sz w:val="28"/>
          <w:szCs w:val="28"/>
          <w:highlight w:val="white"/>
        </w:rPr>
        <w:t>», «</w:t>
      </w:r>
      <w:r>
        <w:rPr>
          <w:rFonts w:cs="Times New Roman" w:ascii="PT Astra Serif" w:hAnsi="PT Astra Serif"/>
          <w:color w:val="000000"/>
          <w:sz w:val="28"/>
          <w:szCs w:val="28"/>
          <w:highlight w:val="white"/>
        </w:rPr>
        <w:t xml:space="preserve">История»,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highlight w:val="white"/>
        </w:rPr>
        <w:t xml:space="preserve">«Обществознание»,  </w:t>
      </w:r>
      <w:r>
        <w:rPr>
          <w:rFonts w:cs="Times New Roman" w:ascii="PT Astra Serif" w:hAnsi="PT Astra Serif"/>
          <w:color w:val="000000"/>
          <w:sz w:val="28"/>
          <w:szCs w:val="28"/>
          <w:highlight w:val="white"/>
        </w:rPr>
        <w:t xml:space="preserve"> «Окружающий мир». Мероприятия по реализации антикоррупционного образования и воспитания проводятся в различных формах. Так, в общеобразовательных организациях муниципального образования «Тереньгульский район» в 2021  году проведено 15 открытых уроков, 98 классных часов по антикоррупционной тематике, 5 тематических </w:t>
      </w:r>
      <w:r>
        <w:rPr>
          <w:rFonts w:cs="Times New Roman" w:ascii="PT Astra Serif" w:hAnsi="PT Astra Serif"/>
          <w:color w:val="000000"/>
          <w:sz w:val="28"/>
          <w:szCs w:val="28"/>
          <w:highlight w:val="white"/>
        </w:rPr>
        <w:t>встреч</w:t>
      </w:r>
      <w:r>
        <w:rPr>
          <w:rFonts w:cs="Times New Roman" w:ascii="PT Astra Serif" w:hAnsi="PT Astra Serif"/>
          <w:color w:val="000000"/>
          <w:sz w:val="28"/>
          <w:szCs w:val="28"/>
          <w:highlight w:val="white"/>
        </w:rPr>
        <w:t xml:space="preserve"> с представителями правоохранительных органов и тематических экскурсий.   </w:t>
      </w:r>
    </w:p>
    <w:p>
      <w:pPr>
        <w:pStyle w:val="Style20"/>
        <w:spacing w:before="0" w:after="0"/>
        <w:jc w:val="both"/>
        <w:rPr/>
      </w:pPr>
      <w:r>
        <w:rPr>
          <w:rFonts w:ascii="PT Astra Serif" w:hAnsi="PT Astra Serif"/>
          <w:sz w:val="28"/>
          <w:szCs w:val="28"/>
        </w:rPr>
        <w:tab/>
        <w:t xml:space="preserve">Антикоррупционное просвещение обучающихся реализуется в рамках работы научных секций и кружков, а также тематических внеучебных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В каждом образовательном учреждении имеются программы по антикоррупционному просвещению обучающихся на 2021 год. </w:t>
      </w:r>
    </w:p>
    <w:p>
      <w:pPr>
        <w:pStyle w:val="Style20"/>
        <w:spacing w:before="0" w:after="6"/>
        <w:jc w:val="both"/>
        <w:rPr/>
      </w:pPr>
      <w:r>
        <w:rPr>
          <w:rFonts w:ascii="PT Astra Serif" w:hAnsi="PT Astra Serif"/>
          <w:sz w:val="28"/>
          <w:szCs w:val="28"/>
        </w:rPr>
        <w:tab/>
        <w:t>По вопросу организации государственной итоговой аттестации выпускников 9, 11 классов в рамках реализации мер по формированию нетерпимого отношения к коррупции образовательными организациями района проведено информирование выпускников и их родителей (законных представителей) об их правах на получение образования, об изменениях в действующем законодательстве в сфере образования.  В рамках проведения 19.11.2021 «Всероссийского дня правовой помощи детям» оказана консультационная помощь несовершеннолетним.</w:t>
      </w:r>
    </w:p>
    <w:p>
      <w:pPr>
        <w:pStyle w:val="Style20"/>
        <w:jc w:val="both"/>
        <w:rPr/>
      </w:pPr>
      <w:r>
        <w:rPr>
          <w:rStyle w:val="Style13"/>
          <w:rFonts w:ascii="PT Astra Serif" w:hAnsi="PT Astra Serif"/>
          <w:sz w:val="28"/>
          <w:szCs w:val="28"/>
          <w:u w:val="none"/>
        </w:rPr>
        <w:tab/>
      </w:r>
      <w:r>
        <w:rPr>
          <w:rFonts w:ascii="PT Astra Serif" w:hAnsi="PT Astra Serif"/>
          <w:sz w:val="28"/>
          <w:szCs w:val="28"/>
          <w:u w:val="none"/>
        </w:rPr>
        <w:t>О</w:t>
      </w:r>
      <w:r>
        <w:rPr>
          <w:rFonts w:ascii="PT Astra Serif" w:hAnsi="PT Astra Serif"/>
          <w:sz w:val="28"/>
          <w:szCs w:val="28"/>
        </w:rPr>
        <w:t xml:space="preserve">дним из механизмов противодействия коррупции в рамках осуществления административной реформы является организация предоставления государственных и муниципальных услуг на базе многофункциональных центров. Деятельность МФЦ основана на современных технологиях управления, обеспечивающих эффективное межведомственное взаимодействие и постоянный контакт с заявителем. Работа МФЦ организуется в соответствии с утвержденными административными регламентами предоставления услуг, что позволяет оптимизировать каждую процедуру при оказании услуги, определить ответственных и максимально ограничить контакты заявителей с представителями органов власти, снижая тем самым возможность коррупционных проявлений.  На территории </w:t>
      </w:r>
      <w:r>
        <w:rPr>
          <w:rFonts w:ascii="PT Astra Serif" w:hAnsi="PT Astra Serif"/>
          <w:sz w:val="28"/>
          <w:szCs w:val="28"/>
        </w:rPr>
        <w:t>Тереньгульского</w:t>
      </w:r>
      <w:r>
        <w:rPr>
          <w:rFonts w:ascii="PT Astra Serif" w:hAnsi="PT Astra Serif"/>
          <w:sz w:val="28"/>
          <w:szCs w:val="28"/>
        </w:rPr>
        <w:t xml:space="preserve"> района функционирует «Многофункциональный центр предоставления государственных и муниципальных услуг» (далее — МФЦ). Во всех поселениях района (кроме </w:t>
      </w:r>
      <w:r>
        <w:rPr>
          <w:rFonts w:ascii="PT Astra Serif" w:hAnsi="PT Astra Serif"/>
          <w:sz w:val="28"/>
          <w:szCs w:val="28"/>
        </w:rPr>
        <w:t>Красноборского сельского поселения</w:t>
      </w:r>
      <w:r>
        <w:rPr>
          <w:rFonts w:ascii="PT Astra Serif" w:hAnsi="PT Astra Serif"/>
          <w:sz w:val="28"/>
          <w:szCs w:val="28"/>
        </w:rPr>
        <w:t>), открыты территориальные обособленные структурные подразделения МФЦ.   Основная цель деятельности МФЦ – это формирование и развитие информационного общества, повышение качества жизни людей. Одна из важнейших составляющих – антикоррупционная функция, поскольку МФЦ выступают в качестве посредника между населением и государственными и муниципальными органами, оказывающими те или иные услуги, исключая прямой контакт граждан с чиновниками. МФЦ — это законный антикоррупционный механизм в руках муниципалитета.</w:t>
      </w:r>
    </w:p>
    <w:p>
      <w:pPr>
        <w:pStyle w:val="Style2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PT Astra Serif" w:ascii="PT Astra Serif" w:hAnsi="PT Astra Serif"/>
          <w:b w:val="false"/>
          <w:color w:val="000000"/>
          <w:sz w:val="28"/>
          <w:szCs w:val="28"/>
        </w:rPr>
        <w:tab/>
      </w:r>
      <w:r>
        <w:rPr>
          <w:rFonts w:eastAsia="Times New Roman" w:cs="PT Astra Serif" w:ascii="PT Astra Serif" w:hAnsi="PT Astra Serif"/>
          <w:b w:val="false"/>
          <w:color w:val="000000"/>
          <w:sz w:val="28"/>
          <w:szCs w:val="28"/>
        </w:rPr>
        <w:t>П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</w:rPr>
        <w:t>еред администраций муниципального образования «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Тереньгульский район»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стоит задача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</w:rPr>
        <w:t>дальнейшего развития и совершенствования антикоррупционной работы, а именно:</w:t>
      </w:r>
    </w:p>
    <w:p>
      <w:pPr>
        <w:pStyle w:val="Style2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</w:rPr>
        <w:t>- осуществление мероприятий, нацеленных на устр</w:t>
      </w:r>
      <w:r>
        <w:rPr>
          <w:rFonts w:eastAsia="Times New Roman" w:cs="Times New Roman" w:ascii="PT Astra Serif" w:hAnsi="PT Astra Serif"/>
          <w:sz w:val="28"/>
          <w:szCs w:val="28"/>
        </w:rPr>
        <w:t>анение условий возникновения коррупции и предупреждение коррупционных правонарушений (обучающие семинарские занятия с сотрудниками администрации и подведомственных организаций; курсы повышение квалификации)</w:t>
      </w:r>
    </w:p>
    <w:p>
      <w:pPr>
        <w:pStyle w:val="Style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eastAsia="Times New Roman" w:cs="Times New Roman" w:ascii="PT Astra Serif" w:hAnsi="PT Astra Serif"/>
          <w:sz w:val="28"/>
          <w:szCs w:val="28"/>
        </w:rPr>
        <w:t>актуализация административных р</w:t>
      </w:r>
      <w:r>
        <w:rPr>
          <w:rFonts w:eastAsia="Times New Roman" w:cs="Times New Roman" w:ascii="PT Astra Serif" w:hAnsi="PT Astra Serif"/>
          <w:sz w:val="28"/>
          <w:szCs w:val="28"/>
        </w:rPr>
        <w:t>егламент</w:t>
      </w:r>
      <w:r>
        <w:rPr>
          <w:rFonts w:eastAsia="Times New Roman" w:cs="Times New Roman" w:ascii="PT Astra Serif" w:hAnsi="PT Astra Serif"/>
          <w:sz w:val="28"/>
          <w:szCs w:val="28"/>
        </w:rPr>
        <w:t>ов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  </w:t>
      </w:r>
      <w:r>
        <w:rPr>
          <w:rFonts w:eastAsia="Times New Roman" w:cs="Times New Roman" w:ascii="PT Astra Serif" w:hAnsi="PT Astra Serif"/>
          <w:sz w:val="28"/>
          <w:szCs w:val="28"/>
        </w:rPr>
        <w:t>по оказанию муниципальных у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слуг 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и 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разъяснительная работа </w:t>
      </w:r>
      <w:r>
        <w:rPr>
          <w:rFonts w:eastAsia="Times New Roman" w:cs="Times New Roman" w:ascii="PT Astra Serif" w:hAnsi="PT Astra Serif"/>
          <w:sz w:val="28"/>
          <w:szCs w:val="28"/>
        </w:rPr>
        <w:t>по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 повышени</w:t>
      </w:r>
      <w:r>
        <w:rPr>
          <w:rFonts w:eastAsia="Times New Roman" w:cs="Times New Roman" w:ascii="PT Astra Serif" w:hAnsi="PT Astra Serif"/>
          <w:sz w:val="28"/>
          <w:szCs w:val="28"/>
        </w:rPr>
        <w:t>ю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 гражданской ответственности жителей по неприятию коррупционных практик, изменению культуры взаимодействия в сфере оказания услуг.</w:t>
      </w:r>
    </w:p>
    <w:p>
      <w:pPr>
        <w:pStyle w:val="Style2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>- информирования населения о реальной коррупционной ситуации в Тереньгульском районе Ульяновской области  и мерах по реализации антикоррупционной политики.</w:t>
      </w:r>
    </w:p>
    <w:p>
      <w:pPr>
        <w:pStyle w:val="Style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Наша главная задача в антикоррупционной работе - прозрачность и открытый диалог с гражданами. </w:t>
      </w:r>
    </w:p>
    <w:p>
      <w:pPr>
        <w:pStyle w:val="Style20"/>
        <w:spacing w:before="0" w:after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Sans">
    <w:altName w:val="Arial"/>
    <w:charset w:val="01"/>
    <w:family w:val="roman"/>
    <w:pitch w:val="default"/>
  </w:font>
  <w:font w:name="PT Sans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8</w:t>
    </w:r>
    <w:r>
      <w:rPr>
        <w:sz w:val="28"/>
        <w:szCs w:val="28"/>
      </w:rPr>
      <w:fldChar w:fldCharType="end"/>
    </w:r>
  </w:p>
  <w:p>
    <w:pPr>
      <w:pStyle w:val="Style26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widowControl w:val="false"/>
      <w:numPr>
        <w:ilvl w:val="0"/>
        <w:numId w:val="1"/>
      </w:numPr>
      <w:jc w:val="center"/>
      <w:outlineLvl w:val="0"/>
    </w:pPr>
    <w:rPr>
      <w:rFonts w:ascii="Arial" w:hAnsi="Arial" w:eastAsia="Arial Unicode MS" w:cs="Tahoma"/>
      <w:b/>
      <w:bCs/>
      <w:sz w:val="20"/>
      <w:szCs w:val="32"/>
      <w:u w:val="single"/>
    </w:rPr>
  </w:style>
  <w:style w:type="paragraph" w:styleId="2">
    <w:name w:val="Heading 2"/>
    <w:basedOn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1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FF"/>
      <w:u w:val="single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21">
    <w:name w:val="Основной текст 2 Знак"/>
    <w:qFormat/>
    <w:rPr>
      <w:sz w:val="24"/>
      <w:szCs w:val="24"/>
    </w:rPr>
  </w:style>
  <w:style w:type="character" w:styleId="Style16">
    <w:name w:val="Символ нумерации"/>
    <w:qFormat/>
    <w:rPr/>
  </w:style>
  <w:style w:type="character" w:styleId="ListLabel1">
    <w:name w:val="ListLabel 1"/>
    <w:qFormat/>
    <w:rPr>
      <w:rFonts w:ascii="PT Astra Serif" w:hAnsi="PT Astra Serif" w:cs="PT Astra Serif"/>
      <w:color w:val="000000"/>
      <w:sz w:val="28"/>
      <w:szCs w:val="28"/>
      <w:lang w:val="en-US"/>
    </w:rPr>
  </w:style>
  <w:style w:type="character" w:styleId="ListLabel2">
    <w:name w:val="ListLabel 2"/>
    <w:qFormat/>
    <w:rPr>
      <w:rFonts w:ascii="PT Astra Serif" w:hAnsi="PT Astra Serif" w:cs="PT Astra Serif"/>
      <w:color w:val="000000"/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Основной шрифт абзаца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ascii="PT Sans;Arial" w:hAnsi="PT Sans;Arial" w:cs="DejaVu Sans;Times New Roman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  <w:style w:type="paragraph" w:styleId="Style24">
    <w:name w:val="Title"/>
    <w:basedOn w:val="Normal"/>
    <w:qFormat/>
    <w:pPr>
      <w:keepNext w:val="true"/>
      <w:spacing w:before="240" w:after="120"/>
    </w:pPr>
    <w:rPr>
      <w:rFonts w:ascii="PT Sans;Arial" w:hAnsi="PT Sans;Arial" w:eastAsia="Tahoma" w:cs="DejaVu Sans;Times New Roman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ans;Arial" w:hAnsi="PT Sans;Arial" w:cs="DejaVu Sans;Times New Roman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 w:cs="DejaVu Sans"/>
    </w:rPr>
  </w:style>
  <w:style w:type="paragraph" w:styleId="12">
    <w:name w:val="Указатель1"/>
    <w:basedOn w:val="Normal"/>
    <w:qFormat/>
    <w:pPr>
      <w:suppressLineNumbers/>
    </w:pPr>
    <w:rPr>
      <w:rFonts w:ascii="PT Sans;Arial" w:hAnsi="PT Sans;Arial" w:cs="DejaVu Sans;Times New Roma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pPr>
      <w:spacing w:before="0" w:after="120"/>
      <w:ind w:left="283" w:right="0" w:hanging="0"/>
    </w:pPr>
    <w:rPr/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8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2"/>
      <w:lang w:val="en-US"/>
    </w:rPr>
  </w:style>
  <w:style w:type="paragraph" w:styleId="13">
    <w:name w:val="Обычный (веб)1"/>
    <w:basedOn w:val="Normal"/>
    <w:qFormat/>
    <w:pPr>
      <w:spacing w:before="280" w:after="280"/>
    </w:pPr>
    <w:rPr/>
  </w:style>
  <w:style w:type="paragraph" w:styleId="3">
    <w:name w:val="Знак3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nformat">
    <w:name w:val="consplusnonformat"/>
    <w:basedOn w:val="Normal"/>
    <w:qFormat/>
    <w:pPr>
      <w:spacing w:before="280" w:after="280"/>
    </w:pPr>
    <w:rPr/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29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2">
    <w:name w:val="Основной текст 21"/>
    <w:basedOn w:val="Normal"/>
    <w:qFormat/>
    <w:pPr>
      <w:spacing w:lineRule="auto" w:line="480" w:before="0" w:after="120"/>
    </w:pPr>
    <w:rPr/>
  </w:style>
  <w:style w:type="paragraph" w:styleId="ConsTitle">
    <w:name w:val="ConsTitle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Liberation Mono;Courier New" w:cs="Liberation Mono;Courier New"/>
      <w:sz w:val="20"/>
      <w:szCs w:val="20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Application>LibreOffice/6.2.8.2$Linux_X86_64 LibreOffice_project/20$Build-2</Application>
  <Pages>8</Pages>
  <Words>2365</Words>
  <Characters>18595</Characters>
  <CharactersWithSpaces>21041</CharactersWithSpaces>
  <Paragraphs>37</Paragraphs>
  <Company>КонсультантПлюс Версия 4017.00.99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2020-06-23T08:33:00Z</dcterms:created>
  <dc:creator>ZaharovaOksana</dc:creator>
  <dc:description/>
  <dc:language>ru-RU</dc:language>
  <cp:lastModifiedBy/>
  <cp:lastPrinted>2022-04-12T18:37:26Z</cp:lastPrinted>
  <dcterms:modified xsi:type="dcterms:W3CDTF">2022-04-12T18:36:23Z</dcterms:modified>
  <cp:revision>113</cp:revision>
  <dc:subject/>
  <dc:title>Постановление Правительства Ульяновской области от 02.10.2013 N 452-П(ред. от 05.04.2018)"О Министерстве сельского, лесного хозяйства и природных ресурсов Ульяновской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