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FB" w:rsidRDefault="00E6302B">
      <w:pPr>
        <w:pStyle w:val="a9"/>
        <w:jc w:val="center"/>
        <w:rPr>
          <w:color w:val="auto"/>
        </w:rPr>
      </w:pPr>
      <w:bookmarkStart w:id="0" w:name="_GoBack"/>
      <w:bookmarkEnd w:id="0"/>
      <w:r>
        <w:rPr>
          <w:rFonts w:ascii="PT Astra Serif" w:hAnsi="PT Astra Serif" w:cs="Times New Roman"/>
          <w:color w:val="auto"/>
          <w:sz w:val="28"/>
          <w:szCs w:val="28"/>
        </w:rPr>
        <w:t>АДМИНИСТРАЦИЯ  МУНИЦИПАЛЬНОГО  ОБРАЗОВАНИЯ</w:t>
      </w:r>
    </w:p>
    <w:p w:rsidR="002C0BFB" w:rsidRDefault="00E6302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«ТЕРЕНЬГУЛЬСКИЙ РАЙОН»</w:t>
      </w:r>
    </w:p>
    <w:p w:rsidR="002C0BFB" w:rsidRDefault="00E6302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УЛЬЯНОВСКОЙ ОБЛАСТИ</w:t>
      </w:r>
    </w:p>
    <w:p w:rsidR="002C0BFB" w:rsidRDefault="002C0BFB">
      <w:pPr>
        <w:pStyle w:val="a9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2C0BFB" w:rsidRDefault="00E6302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36"/>
          <w:szCs w:val="36"/>
        </w:rPr>
        <w:t>П О С Т А Н О В Л Е Н И Е</w:t>
      </w:r>
    </w:p>
    <w:p w:rsidR="002C0BFB" w:rsidRDefault="002C0BFB">
      <w:pPr>
        <w:pStyle w:val="a9"/>
        <w:jc w:val="center"/>
        <w:rPr>
          <w:rFonts w:ascii="PT Astra Serif" w:hAnsi="PT Astra Serif" w:cs="Times New Roman"/>
          <w:color w:val="auto"/>
          <w:sz w:val="36"/>
          <w:szCs w:val="36"/>
        </w:rPr>
      </w:pPr>
    </w:p>
    <w:p w:rsidR="002C0BFB" w:rsidRDefault="00E6302B">
      <w:pPr>
        <w:pStyle w:val="a9"/>
      </w:pPr>
      <w:r>
        <w:rPr>
          <w:rFonts w:ascii="PT Astra Serif" w:hAnsi="PT Astra Serif" w:cs="Times New Roman"/>
          <w:color w:val="auto"/>
          <w:sz w:val="28"/>
          <w:szCs w:val="28"/>
        </w:rPr>
        <w:t>_______________2023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г.                                                                     </w:t>
      </w:r>
      <w:r>
        <w:rPr>
          <w:rFonts w:ascii="PT Astra Serif" w:hAnsi="PT Astra Serif" w:cs="Times New Roman"/>
          <w:color w:val="auto"/>
          <w:sz w:val="24"/>
          <w:szCs w:val="24"/>
        </w:rPr>
        <w:t xml:space="preserve">  №  _______</w:t>
      </w:r>
    </w:p>
    <w:p w:rsidR="002C0BFB" w:rsidRDefault="00E6302B">
      <w:pPr>
        <w:pStyle w:val="a9"/>
        <w:rPr>
          <w:sz w:val="24"/>
          <w:szCs w:val="24"/>
        </w:rPr>
      </w:pPr>
      <w:r>
        <w:rPr>
          <w:rFonts w:ascii="PT Astra Serif" w:hAnsi="PT Astra Serif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color w:val="auto"/>
          <w:sz w:val="24"/>
          <w:szCs w:val="24"/>
        </w:rPr>
        <w:t>Экз. №_____</w:t>
      </w:r>
    </w:p>
    <w:p w:rsidR="002C0BFB" w:rsidRDefault="002C0BFB">
      <w:pPr>
        <w:pStyle w:val="a9"/>
        <w:jc w:val="center"/>
        <w:rPr>
          <w:rFonts w:ascii="PT Astra Serif" w:hAnsi="PT Astra Serif" w:cs="Times New Roman"/>
          <w:color w:val="auto"/>
          <w:sz w:val="24"/>
          <w:szCs w:val="24"/>
        </w:rPr>
      </w:pPr>
    </w:p>
    <w:p w:rsidR="002C0BFB" w:rsidRDefault="00E6302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р.п.Тереньга</w:t>
      </w:r>
    </w:p>
    <w:p w:rsidR="002C0BFB" w:rsidRDefault="002C0BFB">
      <w:pPr>
        <w:pStyle w:val="a9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2C0BFB" w:rsidRDefault="00E6302B">
      <w:pPr>
        <w:pStyle w:val="a9"/>
        <w:jc w:val="center"/>
        <w:rPr>
          <w:color w:val="auto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</w:p>
    <w:p w:rsidR="002C0BFB" w:rsidRDefault="00E6302B">
      <w:pPr>
        <w:pStyle w:val="a9"/>
        <w:jc w:val="center"/>
        <w:rPr>
          <w:color w:val="auto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>О внесении изменений в постановление Администрации муниципального образования «Тереньгульский рай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он»  от 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30.12.2021г.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 xml:space="preserve"> № </w:t>
      </w:r>
      <w:r>
        <w:rPr>
          <w:rFonts w:ascii="PT Astra Serif" w:hAnsi="PT Astra Serif" w:cs="Times New Roman"/>
          <w:b/>
          <w:color w:val="auto"/>
          <w:sz w:val="28"/>
          <w:szCs w:val="28"/>
        </w:rPr>
        <w:t>720</w:t>
      </w:r>
    </w:p>
    <w:p w:rsidR="002C0BFB" w:rsidRDefault="002C0BFB">
      <w:pPr>
        <w:pStyle w:val="a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0BFB" w:rsidRDefault="002C0BFB">
      <w:pPr>
        <w:pStyle w:val="a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2C0BFB" w:rsidRDefault="00E6302B">
      <w:pPr>
        <w:pStyle w:val="a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Администрация муниципального образования «Тереньгульский район»  п о с т а н о в л я е т: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 xml:space="preserve">1. Внести в постановление Администрации муниципального образования «Тереньгульский район» от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30.12.2021г.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№ </w:t>
      </w:r>
      <w:r>
        <w:rPr>
          <w:rFonts w:ascii="PT Astra Serif" w:hAnsi="PT Astra Serif" w:cs="Times New Roman"/>
          <w:color w:val="auto"/>
          <w:sz w:val="28"/>
          <w:szCs w:val="28"/>
        </w:rPr>
        <w:t>720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«Об утверждении муниципальной программы «Гражданское общество и национальная политика на территории муниципального образования «Тереньгульский район» Ульяновской области» следующие изменения: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1. В паспорте муниципальной программы с</w:t>
      </w:r>
      <w:r>
        <w:rPr>
          <w:rFonts w:ascii="PT Astra Serif" w:hAnsi="PT Astra Serif" w:cs="Times New Roman"/>
          <w:color w:val="auto"/>
          <w:sz w:val="28"/>
          <w:szCs w:val="28"/>
        </w:rPr>
        <w:t>троку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«Ресурсное обеспе</w:t>
      </w:r>
      <w:r>
        <w:rPr>
          <w:rFonts w:ascii="PT Astra Serif" w:hAnsi="PT Astra Serif" w:cs="Times New Roman"/>
          <w:color w:val="auto"/>
          <w:sz w:val="28"/>
          <w:szCs w:val="28"/>
        </w:rPr>
        <w:t>чение муниципальной программы с разбивкой по этапам и годам реализации» изложить в следующей редакции: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Общий объем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финансирования Программы составляет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1 992,13 тыс. рублей (в ценах соответствующих лет), в том числе по годам з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а счёт средств муниципального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 бюджета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: </w:t>
      </w:r>
    </w:p>
    <w:p w:rsidR="002C0BFB" w:rsidRDefault="00E6302B">
      <w:pPr>
        <w:pStyle w:val="a9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2022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217,18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2C0BFB" w:rsidRDefault="00E6302B">
      <w:pPr>
        <w:pStyle w:val="a9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572,8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4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440,35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тыс.руб.;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 xml:space="preserve">2025 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388,80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 xml:space="preserve">2026 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373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,00 тыс.рублей.»</w:t>
      </w:r>
    </w:p>
    <w:p w:rsidR="002C0BFB" w:rsidRDefault="00E6302B">
      <w:pPr>
        <w:pStyle w:val="a9"/>
        <w:jc w:val="both"/>
      </w:pPr>
      <w:r>
        <w:rPr>
          <w:rFonts w:ascii="PT Astra Serif" w:eastAsia="Times New Roman" w:hAnsi="PT Astra Serif" w:cs="PT Astra Serif"/>
          <w:color w:val="auto"/>
          <w:spacing w:val="-4"/>
          <w:sz w:val="28"/>
          <w:szCs w:val="28"/>
          <w:lang w:eastAsia="zh-CN"/>
        </w:rPr>
        <w:tab/>
      </w:r>
      <w:r>
        <w:rPr>
          <w:rFonts w:ascii="PT Astra Serif" w:eastAsia="Times New Roman" w:hAnsi="PT Astra Serif" w:cs="Times New Roman"/>
          <w:color w:val="auto"/>
          <w:spacing w:val="-4"/>
          <w:sz w:val="28"/>
          <w:szCs w:val="28"/>
          <w:lang w:eastAsia="zh-CN"/>
        </w:rPr>
        <w:t xml:space="preserve">2. В паспорте </w:t>
      </w:r>
      <w:r>
        <w:rPr>
          <w:rFonts w:ascii="PT Astra Serif" w:hAnsi="PT Astra Serif" w:cs="Times New Roman"/>
          <w:color w:val="auto"/>
          <w:spacing w:val="-4"/>
          <w:sz w:val="28"/>
          <w:szCs w:val="28"/>
        </w:rPr>
        <w:t xml:space="preserve">муниципальной подпрограммы </w:t>
      </w: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 xml:space="preserve">«Содействие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«Тереньгульский район» Ульяновской области» </w:t>
      </w:r>
      <w:r>
        <w:rPr>
          <w:rFonts w:ascii="PT Astra Serif" w:eastAsia="Times New Roman" w:hAnsi="PT Astra Serif" w:cs="Times New Roman"/>
          <w:color w:val="auto"/>
          <w:spacing w:val="-4"/>
          <w:sz w:val="28"/>
          <w:szCs w:val="28"/>
          <w:lang w:eastAsia="zh-CN"/>
        </w:rPr>
        <w:t xml:space="preserve">строку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«Ресурсное </w:t>
      </w:r>
      <w:r>
        <w:rPr>
          <w:rFonts w:ascii="PT Astra Serif" w:hAnsi="PT Astra Serif" w:cs="Times New Roman"/>
          <w:color w:val="auto"/>
          <w:sz w:val="28"/>
          <w:szCs w:val="28"/>
        </w:rPr>
        <w:t>обеспечение подпрограммы с разбивкой по годам реализации»  изложить в следующей редакции: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Общий объем бюджетных ассигнований бюджета муниципального образования «Тереньгульский район» на реализацию подпрограммы составляет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125,96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тыс.рублей, </w:t>
      </w:r>
      <w:r>
        <w:rPr>
          <w:rFonts w:ascii="PT Astra Serif" w:hAnsi="PT Astra Serif" w:cs="PT Astra Serif"/>
          <w:color w:val="auto"/>
          <w:sz w:val="28"/>
          <w:szCs w:val="28"/>
        </w:rPr>
        <w:t>в том числе по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годам: 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lastRenderedPageBreak/>
        <w:tab/>
        <w:t xml:space="preserve">2022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12,16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3,00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4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45,00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>2025 год —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30,8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0 тыс.рублей;</w:t>
      </w:r>
    </w:p>
    <w:p w:rsidR="002C0BFB" w:rsidRDefault="00E6302B">
      <w:pPr>
        <w:pStyle w:val="a9"/>
        <w:widowControl w:val="0"/>
        <w:jc w:val="both"/>
        <w:rPr>
          <w:highlight w:val="yellow"/>
        </w:rPr>
      </w:pPr>
      <w:r>
        <w:rPr>
          <w:rFonts w:ascii="PT Astra Serif" w:eastAsia="Calibri" w:hAnsi="PT Astra Serif" w:cs="PT Astra Serif"/>
          <w:color w:val="auto"/>
          <w:spacing w:val="-4"/>
          <w:sz w:val="28"/>
          <w:szCs w:val="28"/>
          <w:highlight w:val="yellow"/>
        </w:rPr>
        <w:tab/>
        <w:t>2026 год — 35,00 тыс.рублей».</w:t>
      </w:r>
    </w:p>
    <w:p w:rsidR="002C0BFB" w:rsidRDefault="00E6302B">
      <w:pPr>
        <w:widowControl w:val="0"/>
        <w:spacing w:after="0" w:line="240" w:lineRule="auto"/>
        <w:jc w:val="both"/>
      </w:pPr>
      <w:r>
        <w:rPr>
          <w:rFonts w:ascii="PT Astra Serif" w:eastAsia="Calibri" w:hAnsi="PT Astra Serif" w:cs="Times New Roman"/>
          <w:color w:val="auto"/>
          <w:spacing w:val="-4"/>
          <w:sz w:val="28"/>
          <w:szCs w:val="28"/>
        </w:rPr>
        <w:tab/>
        <w:t xml:space="preserve">3. </w:t>
      </w:r>
      <w:r>
        <w:rPr>
          <w:rFonts w:ascii="PT Astra Serif" w:hAnsi="PT Astra Serif" w:cs="Times New Roman"/>
          <w:color w:val="auto"/>
          <w:sz w:val="28"/>
          <w:szCs w:val="28"/>
        </w:rPr>
        <w:t>В паспорте муниципальной подпрограмм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ы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</w:r>
      <w:r>
        <w:rPr>
          <w:rFonts w:ascii="PT Astra Serif" w:hAnsi="PT Astra Serif" w:cs="Times New Roman"/>
          <w:color w:val="auto"/>
          <w:sz w:val="28"/>
          <w:szCs w:val="28"/>
        </w:rPr>
        <w:t>строку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«Ресурсное обеспечение подпрограммы с разбивкой по годам реализации» изложить в следующей редакции: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>Общ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454,15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тыс.рублей, </w:t>
      </w:r>
      <w:r>
        <w:rPr>
          <w:rFonts w:ascii="PT Astra Serif" w:hAnsi="PT Astra Serif" w:cs="PT Astra Serif"/>
          <w:color w:val="auto"/>
          <w:sz w:val="28"/>
          <w:szCs w:val="28"/>
        </w:rPr>
        <w:t>в том числе по годам: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2022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>64,00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 тыс.рублей;</w:t>
      </w:r>
    </w:p>
    <w:p w:rsidR="002C0BFB" w:rsidRDefault="00E6302B">
      <w:pPr>
        <w:pStyle w:val="a9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год — 68,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80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4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год — 125,35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 xml:space="preserve">2025 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98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,00 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 xml:space="preserve">2026 год — 98,00 тыс.рублей». </w:t>
      </w:r>
    </w:p>
    <w:p w:rsidR="002C0BFB" w:rsidRDefault="00E6302B">
      <w:pPr>
        <w:pStyle w:val="a9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4.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В паспорте муниципальной подпрограмм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ы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</w:t>
      </w:r>
      <w:r>
        <w:rPr>
          <w:rFonts w:ascii="PT Astra Serif" w:eastAsia="Calibri" w:hAnsi="PT Astra Serif" w:cs="Times New Roman"/>
          <w:color w:val="auto"/>
          <w:sz w:val="28"/>
          <w:szCs w:val="28"/>
        </w:rPr>
        <w:t>Увековечение памяти погибших при защите Отечества</w:t>
      </w:r>
      <w:r>
        <w:rPr>
          <w:rFonts w:ascii="PT Astra Serif" w:hAnsi="PT Astra Serif" w:cs="Times New Roman"/>
          <w:color w:val="auto"/>
          <w:sz w:val="28"/>
          <w:szCs w:val="28"/>
        </w:rPr>
        <w:t>»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строку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«Ресурсное обеспечение подпрограммы с разбивкой по годам реализ</w:t>
      </w:r>
      <w:r>
        <w:rPr>
          <w:rFonts w:ascii="PT Astra Serif" w:hAnsi="PT Astra Serif" w:cs="Times New Roman"/>
          <w:color w:val="auto"/>
          <w:sz w:val="28"/>
          <w:szCs w:val="28"/>
        </w:rPr>
        <w:t>ации» изложить в следующей редакции: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  <w:t>«</w:t>
      </w:r>
      <w:r>
        <w:rPr>
          <w:rFonts w:ascii="PT Astra Serif" w:hAnsi="PT Astra Serif" w:cs="PT Astra Serif"/>
          <w:color w:val="auto"/>
          <w:sz w:val="28"/>
          <w:szCs w:val="28"/>
        </w:rPr>
        <w:t>Общий объем бюджетных ассигнований бюджета муниципального образования «Тереньгульский район» на финансовое обеспечение реализации подпрограммы составляет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1 412,02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тыс.рублей, </w:t>
      </w:r>
      <w:r>
        <w:rPr>
          <w:rFonts w:ascii="PT Astra Serif" w:hAnsi="PT Astra Serif" w:cs="PT Astra Serif"/>
          <w:color w:val="auto"/>
          <w:sz w:val="28"/>
          <w:szCs w:val="28"/>
        </w:rPr>
        <w:t>в том числе по годам:</w:t>
      </w:r>
    </w:p>
    <w:p w:rsidR="002C0BFB" w:rsidRDefault="00E6302B">
      <w:pPr>
        <w:pStyle w:val="a9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2022 год — </w:t>
      </w:r>
      <w:r>
        <w:rPr>
          <w:rFonts w:ascii="PT Astra Serif" w:eastAsia="Calibri" w:hAnsi="PT Astra Serif" w:cs="PT Astra Serif"/>
          <w:color w:val="auto"/>
          <w:sz w:val="28"/>
          <w:szCs w:val="28"/>
        </w:rPr>
        <w:t xml:space="preserve">141,02 </w:t>
      </w:r>
      <w:r>
        <w:rPr>
          <w:rFonts w:ascii="PT Astra Serif" w:hAnsi="PT Astra Serif" w:cs="PT Astra Serif"/>
          <w:color w:val="auto"/>
          <w:sz w:val="28"/>
          <w:szCs w:val="28"/>
        </w:rPr>
        <w:t>тыс.рублей;</w:t>
      </w:r>
    </w:p>
    <w:p w:rsidR="002C0BFB" w:rsidRDefault="00E6302B">
      <w:pPr>
        <w:pStyle w:val="a9"/>
        <w:jc w:val="both"/>
      </w:pPr>
      <w:r>
        <w:rPr>
          <w:rFonts w:ascii="PT Astra Serif" w:hAnsi="PT Astra Serif" w:cs="PT Astra Serif"/>
          <w:color w:val="auto"/>
          <w:sz w:val="28"/>
          <w:szCs w:val="28"/>
        </w:rPr>
        <w:tab/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3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501,00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>202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4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 год —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270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,00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 xml:space="preserve">2025 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260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>,00 тыс.рублей;</w:t>
      </w:r>
    </w:p>
    <w:p w:rsidR="002C0BFB" w:rsidRDefault="00E6302B">
      <w:pPr>
        <w:pStyle w:val="a9"/>
        <w:jc w:val="both"/>
        <w:rPr>
          <w:highlight w:val="yellow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ab/>
        <w:t xml:space="preserve">2026 год — </w:t>
      </w:r>
      <w:r>
        <w:rPr>
          <w:rFonts w:ascii="PT Astra Serif" w:eastAsia="Calibri" w:hAnsi="PT Astra Serif" w:cs="PT Astra Serif"/>
          <w:color w:val="auto"/>
          <w:sz w:val="28"/>
          <w:szCs w:val="28"/>
          <w:highlight w:val="yellow"/>
        </w:rPr>
        <w:t>240</w:t>
      </w:r>
      <w:r>
        <w:rPr>
          <w:rFonts w:ascii="PT Astra Serif" w:hAnsi="PT Astra Serif" w:cs="PT Astra Serif"/>
          <w:color w:val="auto"/>
          <w:sz w:val="28"/>
          <w:szCs w:val="28"/>
          <w:highlight w:val="yellow"/>
        </w:rPr>
        <w:t xml:space="preserve">,00 тыс.рублей». </w:t>
      </w:r>
    </w:p>
    <w:p w:rsidR="002C0BFB" w:rsidRDefault="00E6302B">
      <w:pPr>
        <w:pStyle w:val="a9"/>
        <w:jc w:val="both"/>
        <w:sectPr w:rsidR="002C0BFB">
          <w:footerReference w:type="even" r:id="rId7"/>
          <w:footerReference w:type="default" r:id="rId8"/>
          <w:pgSz w:w="11906" w:h="16838"/>
          <w:pgMar w:top="1134" w:right="683" w:bottom="1678" w:left="1535" w:header="0" w:footer="1128" w:gutter="0"/>
          <w:cols w:space="720"/>
          <w:formProt w:val="0"/>
          <w:docGrid w:linePitch="360" w:charSpace="4096"/>
        </w:sectPr>
      </w:pPr>
      <w:r>
        <w:rPr>
          <w:rFonts w:ascii="PT Astra Serif" w:hAnsi="PT Astra Serif" w:cs="PT Astra Serif"/>
          <w:color w:val="auto"/>
          <w:sz w:val="28"/>
          <w:szCs w:val="28"/>
        </w:rPr>
        <w:tab/>
        <w:t xml:space="preserve">5.  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Приложение № </w:t>
      </w:r>
      <w:r>
        <w:rPr>
          <w:rFonts w:ascii="PT Astra Serif" w:hAnsi="PT Astra Serif" w:cs="Times New Roman"/>
          <w:color w:val="auto"/>
          <w:sz w:val="28"/>
          <w:szCs w:val="28"/>
        </w:rPr>
        <w:t>3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к муниципальной программе изложить в следующей редакции:</w:t>
      </w:r>
    </w:p>
    <w:tbl>
      <w:tblPr>
        <w:tblW w:w="1457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3"/>
        <w:gridCol w:w="6467"/>
      </w:tblGrid>
      <w:tr w:rsidR="002C0BFB">
        <w:tc>
          <w:tcPr>
            <w:tcW w:w="8102" w:type="dxa"/>
            <w:shd w:val="clear" w:color="auto" w:fill="auto"/>
          </w:tcPr>
          <w:p w:rsidR="002C0BFB" w:rsidRDefault="002C0BFB">
            <w:pPr>
              <w:pStyle w:val="ad"/>
              <w:widowControl w:val="0"/>
              <w:rPr>
                <w:rFonts w:ascii="Liberation Serif" w:hAnsi="Liberation Serif"/>
                <w:color w:val="auto"/>
                <w:sz w:val="24"/>
                <w:szCs w:val="24"/>
              </w:rPr>
            </w:pPr>
          </w:p>
        </w:tc>
        <w:tc>
          <w:tcPr>
            <w:tcW w:w="6467" w:type="dxa"/>
            <w:shd w:val="clear" w:color="auto" w:fill="auto"/>
          </w:tcPr>
          <w:p w:rsidR="002C0BFB" w:rsidRDefault="00E6302B">
            <w:pPr>
              <w:pStyle w:val="ad"/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 xml:space="preserve">«Приложение   № </w:t>
            </w:r>
            <w:r>
              <w:rPr>
                <w:rFonts w:ascii="Liberation Serif" w:eastAsia="Calibri" w:hAnsi="Liberation Serif"/>
                <w:color w:val="auto"/>
                <w:sz w:val="24"/>
                <w:szCs w:val="24"/>
              </w:rPr>
              <w:t>3</w:t>
            </w:r>
          </w:p>
          <w:p w:rsidR="002C0BFB" w:rsidRDefault="00E6302B">
            <w:pPr>
              <w:pStyle w:val="ad"/>
              <w:widowControl w:val="0"/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auto"/>
                <w:sz w:val="24"/>
                <w:szCs w:val="24"/>
              </w:rPr>
              <w:t>к муниципальной программе</w:t>
            </w:r>
          </w:p>
        </w:tc>
      </w:tr>
    </w:tbl>
    <w:p w:rsidR="002C0BFB" w:rsidRDefault="002C0BF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C0BFB" w:rsidRDefault="00E630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СИСТЕМА МЕРОПРИЯТИЙ</w:t>
      </w:r>
    </w:p>
    <w:p w:rsidR="002C0BFB" w:rsidRDefault="00E6302B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муниципальной программы «Гражданское общество и национальная политика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территории </w:t>
      </w:r>
    </w:p>
    <w:p w:rsidR="002C0BFB" w:rsidRDefault="00E6302B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образования «Тереньгульский район» Ульяновской области  </w:t>
      </w:r>
    </w:p>
    <w:tbl>
      <w:tblPr>
        <w:tblW w:w="14682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"/>
        <w:gridCol w:w="170"/>
        <w:gridCol w:w="1429"/>
        <w:gridCol w:w="1439"/>
        <w:gridCol w:w="563"/>
        <w:gridCol w:w="631"/>
        <w:gridCol w:w="1207"/>
        <w:gridCol w:w="1215"/>
        <w:gridCol w:w="170"/>
        <w:gridCol w:w="1651"/>
        <w:gridCol w:w="1538"/>
        <w:gridCol w:w="835"/>
        <w:gridCol w:w="630"/>
        <w:gridCol w:w="732"/>
        <w:gridCol w:w="732"/>
        <w:gridCol w:w="681"/>
        <w:gridCol w:w="672"/>
      </w:tblGrid>
      <w:tr w:rsidR="002C0BFB">
        <w:trPr>
          <w:trHeight w:val="7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№</w:t>
            </w:r>
            <w:r>
              <w:rPr>
                <w:rFonts w:ascii="PT Astra Serif;Times New Roman" w:eastAsia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проекта, основного мероприятия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Срок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Контрольное событие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br/>
              <w:t>целевого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br/>
              <w:t>индикатора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Объём финансового обеспечения реализации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мероприятий по годам, тыс. руб.</w:t>
            </w:r>
          </w:p>
        </w:tc>
      </w:tr>
      <w:tr w:rsidR="002C0BFB">
        <w:trPr>
          <w:trHeight w:val="349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Нача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окон-чания</w:t>
            </w: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ind w:left="-12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 xml:space="preserve"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образовании «Тереньгульский район» Ульяновской области»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Cs/>
                <w:iCs/>
                <w:color w:val="auto"/>
                <w:spacing w:val="-2"/>
                <w:sz w:val="20"/>
                <w:szCs w:val="20"/>
              </w:rPr>
              <w:t>Цель подпрограммы:</w:t>
            </w:r>
            <w:r>
              <w:rPr>
                <w:rFonts w:ascii="PT Astra Serif;Times New Roman" w:hAnsi="PT Astra Serif;Times New Roman" w:cs="PT Astra Serif;Times New Roman"/>
                <w:bCs/>
                <w:color w:val="au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создание правовых, экономических и организационных условий для дальнейшего становления социально ориентированных некоммерческих организаций (далее – СО НКО), развития добровольческ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ой (волонтёрской) деятельности и обеспечение их эффективного участия в социально-экономическом развитии Тереньгульского района</w:t>
            </w:r>
          </w:p>
        </w:tc>
      </w:tr>
      <w:tr w:rsidR="002C0BFB">
        <w:trPr>
          <w:trHeight w:val="168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PT Astra Serif;Times New Roman"/>
                <w:bCs/>
                <w:iCs/>
              </w:rPr>
              <w:t>Задача подпрограммы:</w:t>
            </w:r>
            <w:r>
              <w:rPr>
                <w:rFonts w:ascii="PT Astra Serif;Times New Roman" w:hAnsi="PT Astra Serif;Times New Roman" w:cs="PT Astra Serif;Times New Roman"/>
                <w:bCs/>
              </w:rPr>
              <w:t xml:space="preserve"> </w:t>
            </w:r>
            <w:r>
              <w:rPr>
                <w:rFonts w:ascii="PT Astra Serif;Times New Roman" w:hAnsi="PT Astra Serif;Times New Roman" w:cs="Times New Roman"/>
              </w:rPr>
              <w:t xml:space="preserve">развитие механизмов привлечения СО НКО к оказанию социальных услуг на конкурентной основе, а также </w:t>
            </w:r>
            <w:r>
              <w:rPr>
                <w:rFonts w:ascii="PT Astra Serif;Times New Roman" w:hAnsi="PT Astra Serif;Times New Roman" w:cs="Times New Roman"/>
              </w:rPr>
              <w:t>конкурсного финансирования инновационных программ и проектов СО НКО;развитие инфраструктуры поддержки СО НКО, в том числе содействие привлечению СО НКО труда добровольцев;</w:t>
            </w:r>
            <w:r>
              <w:rPr>
                <w:rFonts w:ascii="PT Astra Serif;Times New Roman" w:hAnsi="PT Astra Serif;Times New Roman" w:cs="PT Astra Serif;Times New Roman"/>
                <w:bCs/>
              </w:rPr>
              <w:t xml:space="preserve"> </w:t>
            </w:r>
            <w:r>
              <w:rPr>
                <w:rFonts w:ascii="PT Astra Serif;Times New Roman" w:hAnsi="PT Astra Serif;Times New Roman" w:cs="Times New Roman"/>
              </w:rPr>
              <w:t>обеспечение открытости информации о государственной поддержке СО НКО</w:t>
            </w:r>
          </w:p>
        </w:tc>
      </w:tr>
      <w:tr w:rsidR="002C0BFB">
        <w:trPr>
          <w:trHeight w:val="29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6"/>
                <w:sz w:val="20"/>
                <w:szCs w:val="20"/>
                <w:lang w:eastAsia="ru-RU"/>
              </w:rPr>
              <w:t>Основное ме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6"/>
                <w:sz w:val="20"/>
                <w:szCs w:val="20"/>
                <w:lang w:eastAsia="ru-RU"/>
              </w:rPr>
              <w:t>роприятие «Осуществление  финансовой поддержки социально ориентированных программ (проектов), реализуемых СО НКО»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</w:pP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муниципального образования «Тереньгульский район»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Ульяновской области (далее —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Первый заместитель главы администрации района)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>Количество СО НКО, получивших субсидии из  бюджета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 Ульяновской области (далее – местный бюджет)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Бюджетные ассигнования бюджета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муниципального образования «Тереньгульский район» муниципального образования «Тереньгульский район»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20,00</w:t>
            </w:r>
          </w:p>
        </w:tc>
      </w:tr>
      <w:tr w:rsidR="002C0BFB">
        <w:trPr>
          <w:trHeight w:val="7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 xml:space="preserve">Предоставление субсидий СО НКО из бюджета в целях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lastRenderedPageBreak/>
              <w:t>финансового обеспечения</w:t>
            </w:r>
          </w:p>
          <w:p w:rsidR="002C0BFB" w:rsidRDefault="00E6302B">
            <w:pPr>
              <w:widowControl w:val="0"/>
              <w:spacing w:after="0" w:line="228" w:lineRule="auto"/>
              <w:jc w:val="both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>реализации</w:t>
            </w:r>
          </w:p>
          <w:p w:rsidR="002C0BFB" w:rsidRDefault="00E6302B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 xml:space="preserve">социально ориентированных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18"/>
                <w:szCs w:val="18"/>
                <w:lang w:eastAsia="ru-RU"/>
              </w:rPr>
              <w:t>программ (проектов)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</w:pP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 xml:space="preserve">Первый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lastRenderedPageBreak/>
              <w:t xml:space="preserve">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2022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20,00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«Проведение мероприятий, направленных на обеспечение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>развития гражданского общества и организацию взаимодействия составляющих его элементов»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мероприятий, проведённых органами местного самоуправления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муниципальных образований Ульяновской области с участием СО НКО;</w:t>
            </w:r>
          </w:p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количество СО НКО, осуществляющих деятельность на территории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Ульяновской области, в отчётном году;</w:t>
            </w:r>
          </w:p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количество информационных материалов, опуб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ликованных в пе-чатных средствах массовой информации, а также радио-, теле- и иных программ,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lastRenderedPageBreak/>
              <w:t>вышедших в свет (в эфир), освещающих деятельность СО НКО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65,96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3,0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25,0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10,8</w:t>
            </w:r>
            <w:r>
              <w:rPr>
                <w:rFonts w:ascii="PT Astra Serif;Times New Roman" w:hAnsi="PT Astra Serif;Times New Roman" w:cs="PT Astra Serif;Times New Roman"/>
                <w:color w:val="00A933"/>
                <w:lang w:eastAsia="ru-RU"/>
              </w:rPr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15,0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мероприятий с участием некоммерческих общественных объединений ( в т.ч изготовление баннеров, приобретение цветов, подарков,  сувенирной продукции)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Бюджетные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3,</w:t>
            </w:r>
            <w:r>
              <w:rPr>
                <w:rFonts w:ascii="PT Astra Serif;Times New Roman" w:hAnsi="PT Astra Serif;Times New Roman" w:cs="PT Astra Serif;Times New Roman"/>
                <w:color w:val="auto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25,0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10,8</w:t>
            </w:r>
            <w:r>
              <w:rPr>
                <w:rFonts w:ascii="PT Astra Serif;Times New Roman" w:hAnsi="PT Astra Serif;Times New Roman" w:cs="PT Astra Serif;Times New Roman"/>
                <w:color w:val="00A933"/>
                <w:lang w:eastAsia="ru-RU"/>
              </w:rPr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15,0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Осуществление комплекса мероприятий, направленных на развитие инфраструктуры поддержки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lastRenderedPageBreak/>
              <w:t>деятельности СО НКО (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>чествование активистов НКО)</w:t>
            </w:r>
          </w:p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Изготовление 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>буклетов.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Первый заместитель Главы администраци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12,16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0,0</w:t>
            </w:r>
          </w:p>
        </w:tc>
      </w:tr>
      <w:tr w:rsidR="002C0BFB"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</w:rPr>
              <w:lastRenderedPageBreak/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FF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pacing w:val="-6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lang w:eastAsia="ru-RU"/>
              </w:rPr>
              <w:t>125,96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lang w:eastAsia="ru-RU"/>
              </w:rPr>
              <w:t>12,16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lang w:eastAsia="ru-RU"/>
              </w:rPr>
              <w:t>3</w:t>
            </w: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lang w:eastAsia="ru-RU"/>
              </w:rPr>
              <w:t>,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lang w:eastAsia="ru-RU"/>
              </w:rPr>
              <w:t>45</w:t>
            </w:r>
            <w:r>
              <w:rPr>
                <w:rFonts w:ascii="PT Astra Serif;Times New Roman" w:hAnsi="PT Astra Serif;Times New Roman" w:cs="PT Astra Serif;Times New Roman"/>
                <w:b/>
                <w:color w:val="00A933"/>
                <w:lang w:eastAsia="ru-RU"/>
              </w:rPr>
              <w:t>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lang w:eastAsia="ru-RU"/>
              </w:rPr>
              <w:t>30,8</w:t>
            </w:r>
            <w:r>
              <w:rPr>
                <w:rFonts w:ascii="PT Astra Serif;Times New Roman" w:hAnsi="PT Astra Serif;Times New Roman" w:cs="PT Astra Serif;Times New Roman"/>
                <w:b/>
                <w:color w:val="00A933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00A933"/>
                <w:lang w:eastAsia="ru-RU"/>
              </w:rPr>
              <w:t>35,0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Подпрограмма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«Укрепление единства российской нации,  и этнокультурное развитие народов России на территории муниципального образования «Тереньгульский район»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Цель подпрограммы: укрепление гражданского единства многонационального народа Российской Федерации (российской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 нации) на территории муниципального образования «Тереньгульский район»;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Задача подпрограммы: гармонизация межнаци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ональных отношений; реализация комплексной информационной кампании, направленной на пропаганду укрепления единства российской нации на территории муниципального образования «Тереньгульский район»; создание условий для адаптации и интеграции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иностранных гра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  <w:t>ждан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, прибывающих на территорию муниципального образования «Тереньгульский район»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Цель мероприятия: обеспечение равенства прав и свобод человека и гражданина независимо от расы, национальности, языка, происхождения, имущественного</w:t>
            </w:r>
          </w:p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 должностного положения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, места жительства, отношения к религии, убеждений, принадлежности к общественным объединениям, а также других обстоятельств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Задачи мероприятия: формирование гражданского самосознания, патриотизма, гражданской ответственности, чувства гордости за историю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России;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воспитание культуры межнационального общения, основанной на уважении чести и национального достоинства граждан,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традиционных российских духовно-нравственных ценностей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Основное мероприятие «Обеспечение гражданской идентичности и этнокультурного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развития народов России,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ascii="PT Astra Serif;Times New Roman" w:hAnsi="PT Astra Serif;Times New Roman" w:cs="Times New Roman"/>
              </w:rPr>
              <w:t>Количество проведенных социально-значимых м</w:t>
            </w:r>
            <w:r>
              <w:rPr>
                <w:rFonts w:ascii="PT Astra Serif;Times New Roman" w:hAnsi="PT Astra Serif;Times New Roman" w:cs="Times New Roman"/>
              </w:rPr>
              <w:t>ероприятий, направленных на повышение толерантного отношения жителей к представителям других национальностей;</w:t>
            </w:r>
          </w:p>
          <w:p w:rsidR="002C0BFB" w:rsidRDefault="00E6302B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ascii="PT Astra Serif;Times New Roman" w:hAnsi="PT Astra Serif;Times New Roman" w:cs="Times New Roman"/>
              </w:rPr>
              <w:t xml:space="preserve">Количество проведенных </w:t>
            </w:r>
            <w:r>
              <w:rPr>
                <w:rFonts w:ascii="PT Astra Serif;Times New Roman" w:hAnsi="PT Astra Serif;Times New Roman" w:cs="Times New Roman"/>
              </w:rPr>
              <w:lastRenderedPageBreak/>
              <w:t xml:space="preserve">«круглых столов» с участием представителей местных отделений национально-культурных автономий, представителей различных </w:t>
            </w:r>
            <w:r>
              <w:rPr>
                <w:rFonts w:ascii="PT Astra Serif;Times New Roman" w:hAnsi="PT Astra Serif;Times New Roman" w:cs="Times New Roman"/>
              </w:rPr>
              <w:t>конфессий;</w:t>
            </w:r>
          </w:p>
          <w:p w:rsidR="002C0BFB" w:rsidRDefault="00E6302B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Times New Roman"/>
              </w:rPr>
              <w:t>Количество проведенных в сельских поселениях выездных заседаний Совета национальностей при главе администрации муниципального образования «Тереньгульский район» с приглашением представителей живущих на территории поселений народов и конфессий;</w:t>
            </w:r>
          </w:p>
          <w:p w:rsidR="002C0BFB" w:rsidRDefault="002C0BFB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</w:rPr>
            </w:pPr>
          </w:p>
          <w:p w:rsidR="002C0BFB" w:rsidRDefault="00E6302B">
            <w:pPr>
              <w:pStyle w:val="ConsPlusNormal"/>
              <w:widowControl w:val="0"/>
              <w:jc w:val="both"/>
              <w:rPr>
                <w:rFonts w:ascii="PT Astra Serif;Times New Roman" w:hAnsi="PT Astra Serif;Times New Roman" w:cs="Times New Roman"/>
                <w:color w:val="FF0000"/>
              </w:rPr>
            </w:pPr>
            <w:r>
              <w:rPr>
                <w:rFonts w:ascii="PT Astra Serif;Times New Roman" w:hAnsi="PT Astra Serif;Times New Roman" w:cs="Times New Roman"/>
              </w:rPr>
              <w:t xml:space="preserve">Численность участников мероприятий, проведённых при участии органов местного </w:t>
            </w:r>
            <w:r>
              <w:rPr>
                <w:rFonts w:ascii="PT Astra Serif;Times New Roman" w:hAnsi="PT Astra Serif;Times New Roman" w:cs="Times New Roman"/>
              </w:rPr>
              <w:lastRenderedPageBreak/>
              <w:t>самоуправления муниципального образования «Тереньгульский район», направленных на этнокультурное развитие народов России и поддержку языкового многообразия;</w:t>
            </w:r>
          </w:p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Повышение информирован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ности жителей муниципального образования «Тереньгульский район» о целях и задачах реализации национальной политики.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10,435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C9211E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0,655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</w:tr>
      <w:tr w:rsidR="002C0BFB">
        <w:trPr>
          <w:trHeight w:val="76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Изготовление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буклетов о народах, проживающих на территории муниципального образования «Тереньгульский район» Ульяновской области и их традициях и праздниках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Бюджетные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8,935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0,780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0,655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2,5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4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4"/>
                <w:sz w:val="20"/>
                <w:szCs w:val="20"/>
              </w:rPr>
              <w:t>Подготовка и организация опубликования в печатных средствах массовой информации материалов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4"/>
                <w:sz w:val="20"/>
                <w:szCs w:val="20"/>
              </w:rPr>
              <w:t xml:space="preserve"> по вопросам реализации государственной национальной политики и государственной политики в отношении российского казачества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0,5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Цель мероприятия: содействие гармонизации национальных и межнациональных (межэтнических) отношений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снижению уровня этнополитического и религиозно-политического экстремизма, ксенофобии и нетерпимости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на территории муниципального образования «Тереньгульский район»  Ульяновской области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>Основное мероприятие «Профилактика экстремизма на национальной и религиозной почве»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Доля граждан, подтверждающих отсутствие в свой адрес дискриминации по признакам национальности, языка, религии, в общем количестве опрошенных граждан Российской Федерации, проживающих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lastRenderedPageBreak/>
              <w:t xml:space="preserve">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14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4,8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Организация распространения в СМИ социальной рекламы,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направленной на профилактику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lastRenderedPageBreak/>
              <w:t xml:space="preserve">экстремизма, 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 xml:space="preserve">изготовление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2"/>
                <w:sz w:val="20"/>
                <w:szCs w:val="20"/>
                <w:lang w:eastAsia="ru-RU"/>
              </w:rPr>
              <w:t>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Первый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заместитель Главы администраци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14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4,8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3,0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Цель мероприятия: успешная социальная и культурная адаптация иностранных граждан на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территории муниципального образования «Тереньгульский район» Ульяновской области и их интеграция в российское общество</w:t>
            </w:r>
          </w:p>
        </w:tc>
      </w:tr>
      <w:tr w:rsidR="002C0BFB">
        <w:trPr>
          <w:trHeight w:val="137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Задача мероприятия: содействие социальной и культурной адаптации иностранных граждан на территории муниципального образования «Тереньгул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ьский район» Ульяновской области и их интеграции в российское общество</w:t>
            </w:r>
          </w:p>
        </w:tc>
      </w:tr>
      <w:tr w:rsidR="002C0BFB">
        <w:trPr>
          <w:trHeight w:val="463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Основное мероприятие «Социально-культурная адаптация и интеграция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иностранных граждан 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 территории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 xml:space="preserve">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E6302B">
            <w:pPr>
              <w:widowControl w:val="0"/>
              <w:spacing w:after="143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Доля граждан, не испытывающих негативного отношения к иностранным гражданам, в общей численности граждан Российской Федерации, проживающих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Ульяновской области (по результатам социологических исследований)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C9211E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>Изготовление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буклетов, брошюр информационно-справочного характера для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иностранных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pacing w:val="-4"/>
                <w:sz w:val="20"/>
                <w:szCs w:val="20"/>
              </w:rPr>
              <w:lastRenderedPageBreak/>
              <w:t>граждан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, прибывающих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на территорию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 Ульяновскую область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Первый заместитель Главы администраци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Цель мероприятия: сохранение и поддержка этнокультурного многообразия на территории муниципального образования «Тереньгульский район»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Ульяновской области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Задачи мероприятия: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содействие этнокультурному и духовному развитию народов Российской Федерации, проживающих на территории муниципального образования «Тереньгульский район» Ульяновской области; обеспечение равноправия граждан и реализации их конституционных прав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Основное мероприятие «Этнокультурное развитие народов, проживающих на территории муниципального образования «Тереньгульский район» Ульяновской области»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 Отдел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культуры,</w:t>
            </w:r>
          </w:p>
          <w:p w:rsidR="002C0BFB" w:rsidRDefault="002C0BF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Численность участников мероприятий,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проводимых на территории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муниципального образования «Тереньгульский район»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 Ульяновской области, направленных на этнокультурное развитие народов России, проживающих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Ульяновской области;</w:t>
            </w:r>
          </w:p>
          <w:p w:rsidR="002C0BFB" w:rsidRDefault="00E6302B">
            <w:pPr>
              <w:widowControl w:val="0"/>
              <w:spacing w:after="0" w:line="252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количес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тво участников мероприятий, проводимых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Ульяновской области, и направленных на укрепление общероссийского гражданского единства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414,395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53,70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auto"/>
                <w:lang w:eastAsia="ru-RU"/>
              </w:rPr>
              <w:t>63,345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127,35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80,0</w:t>
            </w:r>
          </w:p>
        </w:tc>
      </w:tr>
      <w:tr w:rsidR="002C0BFB">
        <w:trPr>
          <w:trHeight w:val="145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Проведение социально значимых мероприятий, направленных на обеспечение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духовно-нравственного воспитания населения, приуроченных к памятным датам и национальным праздникам народов, проживающих в Ульяновской области</w:t>
            </w:r>
          </w:p>
          <w:p w:rsidR="002C0BFB" w:rsidRDefault="002C0BFB">
            <w:pPr>
              <w:widowControl w:val="0"/>
              <w:spacing w:after="0" w:line="252" w:lineRule="auto"/>
              <w:jc w:val="both"/>
              <w:rPr>
                <w:color w:val="aut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МУ Отдел культуры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52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eastAsia="Calibri" w:hAnsi="PT Astra Serif" w:cs="PT Astra Serif;Times New Roman"/>
                <w:color w:val="00A933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</w:rPr>
              <w:t>16,0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10,0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30,0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" w:eastAsia="Calibri" w:hAnsi="PT Astra Serif"/>
                <w:color w:val="00A933"/>
                <w:sz w:val="24"/>
                <w:szCs w:val="24"/>
              </w:rPr>
              <w:t>30,0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30,0</w:t>
            </w:r>
          </w:p>
        </w:tc>
      </w:tr>
      <w:tr w:rsidR="002C0BFB">
        <w:trPr>
          <w:trHeight w:val="145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pacing w:after="0" w:line="252" w:lineRule="auto"/>
              <w:jc w:val="both"/>
              <w:rPr>
                <w:color w:val="auto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bookmarkStart w:id="1" w:name="__DdeLink__8925_3438629665"/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Администрация района</w:t>
            </w:r>
            <w:bookmarkEnd w:id="1"/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52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lang w:eastAsia="ru-RU"/>
              </w:rPr>
              <w:t>298,395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37,7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53,345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97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60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50,</w:t>
            </w: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Цель мероприятия: сохранение и поддержка языкового многообразия на территории муниципального образования «Тереньгульский район» Ульяновской области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Задачи мероприятия: сохранение и поддержка русского языка как государственного языка Российской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Федерации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 языков народов Российской Федерации, проживающих на территории муниципального образования «Тереньгульский район» Ульяновской области;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обеспечение права на сохранение родного языка из числа языков народов России, его изучение и развитие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  <w:lang w:eastAsia="ru-RU"/>
              </w:rPr>
              <w:t>Основное мероприятие «Русский язык и языки народов России»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Ульяновской области, направленных на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сохранение и развитие русского языка и языков народов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lastRenderedPageBreak/>
              <w:t>России, проживающих на территории Ульяновской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</w:t>
            </w:r>
          </w:p>
        </w:tc>
      </w:tr>
      <w:tr w:rsidR="002C0BFB">
        <w:trPr>
          <w:trHeight w:val="151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укрепление статуса русского языка как государственного языка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МУ Отдел образования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0,0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Цель мероприятия: сохранение и поддержка традиционных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российских духовно-нравственных ценностей как основы российского общества</w:t>
            </w:r>
          </w:p>
        </w:tc>
      </w:tr>
      <w:tr w:rsidR="002C0BFB">
        <w:trPr>
          <w:trHeight w:val="496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Задача мероприятия: содействие развитию и консолидации российского казачества,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патриотических общественных объединений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посредством формирования</w:t>
            </w:r>
          </w:p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эффективных механизмов общественно-г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осударственного партнёрства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Основное мероприятие: «Российское казачество», патриотические общественные объединения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участ-ников мероприятий, проводимых на территории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муниципального образования «Тереньгульский район»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Ульяновской области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7,92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</w:t>
            </w:r>
            <w:r>
              <w:rPr>
                <w:rFonts w:ascii="PT Astra Serif;Times New Roman" w:hAnsi="PT Astra Serif;Times New Roman" w:cs="PT Astra Serif;Times New Roman"/>
                <w:color w:val="auto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</w:tr>
      <w:tr w:rsidR="002C0BFB">
        <w:trPr>
          <w:trHeight w:val="355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Организация и проведение социально значимых мероприятий, направленных на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взаимодействие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российского казачества и патриотических общественных объединений на территории Ульяновской области,</w:t>
            </w:r>
          </w:p>
          <w:p w:rsidR="002C0BFB" w:rsidRDefault="00E6302B">
            <w:pPr>
              <w:widowControl w:val="0"/>
              <w:spacing w:after="0" w:line="228" w:lineRule="auto"/>
              <w:jc w:val="both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изготовление баннеров,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 буклетов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52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 w:rsidR="002C0BFB" w:rsidRDefault="002C0BF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7,92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  <w:lang w:eastAsia="ru-RU"/>
              </w:rPr>
              <w:t>0</w:t>
            </w:r>
            <w:r>
              <w:rPr>
                <w:rFonts w:ascii="PT Astra Serif;Times New Roman" w:hAnsi="PT Astra Serif;Times New Roman" w:cs="PT Astra Serif;Times New Roman"/>
                <w:color w:val="auto"/>
                <w:lang w:eastAsia="ru-RU"/>
              </w:rPr>
              <w:t>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  <w:lang w:eastAsia="ru-RU"/>
              </w:rPr>
              <w:t>1,0</w:t>
            </w:r>
          </w:p>
        </w:tc>
      </w:tr>
      <w:tr w:rsidR="002C0BFB"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rPr>
                <w:rFonts w:ascii="PT Astra Serif;Times New Roman" w:hAnsi="PT Astra Serif;Times New Roman" w:cs="PT Astra Serif;Times New Roman"/>
                <w:b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Итого по подпрограмме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auto"/>
                <w:lang w:eastAsia="ru-RU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  <w:lang w:eastAsia="ru-RU"/>
              </w:rPr>
              <w:t>454,15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lang w:eastAsia="ru-RU"/>
              </w:rPr>
              <w:t>64,00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lang w:eastAsia="ru-RU"/>
              </w:rPr>
              <w:t>68,8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lang w:eastAsia="ru-RU"/>
              </w:rPr>
              <w:t>125,35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lang w:eastAsia="ru-RU"/>
              </w:rPr>
              <w:t>98,0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lang w:eastAsia="ru-RU"/>
              </w:rPr>
              <w:t>98,0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</w:rPr>
              <w:t>Подпрограмма «Увековечение памяти погибших при защите Отечества»</w:t>
            </w:r>
          </w:p>
        </w:tc>
      </w:tr>
      <w:tr w:rsidR="002C0BFB"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 xml:space="preserve">Цель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подпрограммы: увековечение памяти погибших при защите Отечества.</w:t>
            </w:r>
          </w:p>
          <w:p w:rsidR="002C0BFB" w:rsidRDefault="002C0BF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</w:tr>
      <w:tr w:rsidR="002C0BFB">
        <w:trPr>
          <w:trHeight w:val="728"/>
        </w:trPr>
        <w:tc>
          <w:tcPr>
            <w:tcW w:w="146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pStyle w:val="ConsPlusNormal"/>
              <w:widowControl w:val="0"/>
              <w:jc w:val="both"/>
            </w:pPr>
            <w:r>
              <w:rPr>
                <w:rFonts w:ascii="PT Astra Serif;Times New Roman" w:hAnsi="PT Astra Serif;Times New Roman" w:cs="PT Astra Serif;Times New Roman"/>
              </w:rPr>
              <w:lastRenderedPageBreak/>
              <w:t xml:space="preserve">Задачи подпрограммы: </w:t>
            </w:r>
            <w:r>
              <w:rPr>
                <w:rFonts w:ascii="PT Astra Serif;Times New Roman" w:hAnsi="PT Astra Serif;Times New Roman" w:cs="PT Astra Serif;Times New Roman"/>
                <w:spacing w:val="-6"/>
                <w:lang w:eastAsia="ru-RU"/>
              </w:rPr>
              <w:t>Содержание в порядке и благоустройство воинских захоронений, мемориальных сооружений и объектов, увековечивающих память погибших при защите Отечества,  с</w:t>
            </w: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>одействие в орг</w:t>
            </w: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анизации </w:t>
            </w:r>
            <w:r>
              <w:rPr>
                <w:rFonts w:ascii="PT Astra Serif" w:hAnsi="PT Astra Serif"/>
                <w:spacing w:val="-4"/>
              </w:rPr>
              <w:t>работ</w:t>
            </w: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 </w:t>
            </w:r>
            <w:r>
              <w:rPr>
                <w:rFonts w:ascii="PT Astra Serif" w:hAnsi="PT Astra Serif"/>
                <w:spacing w:val="-4"/>
              </w:rPr>
              <w:t>по проведению раскопок на местах боевых сражений;  организация проведения мероприятий по захоронению  и увековечению памяти военнослужащих, погибших при защите Отечества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textAlignment w:val="baseline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textAlignment w:val="baseline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6"/>
                <w:sz w:val="20"/>
                <w:szCs w:val="20"/>
                <w:lang w:eastAsia="ru-RU"/>
              </w:rPr>
              <w:t xml:space="preserve">Основное мероприятие «Содержание в порядке и благоустройство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6"/>
                <w:sz w:val="20"/>
                <w:szCs w:val="20"/>
                <w:lang w:eastAsia="ru-RU"/>
              </w:rPr>
              <w:t>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textAlignment w:val="baseline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28" w:lineRule="auto"/>
              <w:jc w:val="center"/>
              <w:textAlignment w:val="baseline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28" w:lineRule="auto"/>
              <w:jc w:val="center"/>
              <w:textAlignment w:val="baseline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благоустроенных  воинских захоронений,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мемориальных сооружений и объектов, увековечивающих память погибших при защите Отечества</w:t>
            </w:r>
          </w:p>
          <w:p w:rsidR="002C0BFB" w:rsidRDefault="002C0BFB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auto"/>
              </w:rPr>
            </w:pPr>
          </w:p>
          <w:p w:rsidR="002C0BFB" w:rsidRDefault="002C0BFB">
            <w:pPr>
              <w:widowControl w:val="0"/>
              <w:spacing w:after="0" w:line="228" w:lineRule="auto"/>
              <w:jc w:val="both"/>
              <w:rPr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126" w:right="-117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6,02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99" w:right="-143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6,02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73" w:right="-28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46" w:right="-55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0,</w:t>
            </w:r>
            <w:r>
              <w:rPr>
                <w:rFonts w:ascii="PT Astra Serif;Times New Roman" w:hAnsi="PT Astra Serif;Times New Roman" w:cs="PT Astra Serif;Times New Roman"/>
                <w:color w:val="auto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161" w:right="-81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0,</w:t>
            </w:r>
            <w:r>
              <w:rPr>
                <w:rFonts w:ascii="PT Astra Serif;Times New Roman" w:hAnsi="PT Astra Serif;Times New Roman" w:cs="PT Astra Serif;Times New Roman"/>
                <w:color w:val="auto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135" w:right="-108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0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,0</w:t>
            </w:r>
          </w:p>
        </w:tc>
      </w:tr>
      <w:tr w:rsidR="002C0BFB">
        <w:trPr>
          <w:trHeight w:val="261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pStyle w:val="ConsPlusNormal"/>
              <w:widowControl w:val="0"/>
              <w:jc w:val="both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Выполнение работ по содержанию в порядке и благоустройству </w:t>
            </w:r>
            <w:r>
              <w:rPr>
                <w:rFonts w:ascii="PT Astra Serif;Times New Roman" w:hAnsi="PT Astra Serif;Times New Roman" w:cs="PT Astra Serif;Times New Roman"/>
                <w:spacing w:val="-6"/>
                <w:lang w:eastAsia="ru-RU"/>
              </w:rPr>
              <w:t>воинских захоронений, мемориальных</w:t>
            </w:r>
            <w:r>
              <w:rPr>
                <w:rFonts w:ascii="PT Astra Serif;Times New Roman" w:hAnsi="PT Astra Serif;Times New Roman" w:cs="PT Astra Serif;Times New Roman"/>
                <w:spacing w:val="-6"/>
                <w:lang w:eastAsia="ru-RU"/>
              </w:rPr>
              <w:t xml:space="preserve"> сооружений и объектов, увековечивающих память погибших при защите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28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126" w:right="-117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6,02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6,02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73" w:right="-28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46" w:right="-55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0,</w:t>
            </w:r>
            <w:r>
              <w:rPr>
                <w:rFonts w:ascii="PT Astra Serif;Times New Roman" w:hAnsi="PT Astra Serif;Times New Roman" w:cs="PT Astra Serif;Times New Roman"/>
                <w:color w:val="auto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161" w:right="-81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0,</w:t>
            </w:r>
            <w:r>
              <w:rPr>
                <w:rFonts w:ascii="PT Astra Serif;Times New Roman" w:hAnsi="PT Astra Serif;Times New Roman" w:cs="PT Astra Serif;Times New Roman"/>
                <w:color w:val="auto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ind w:left="-135" w:right="-108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0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,0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pStyle w:val="ConsPlusNormal"/>
              <w:widowControl w:val="0"/>
              <w:spacing w:line="247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Основное мероприятие «Содействие в организации </w:t>
            </w:r>
            <w:r>
              <w:rPr>
                <w:rFonts w:ascii="PT Astra Serif" w:hAnsi="PT Astra Serif"/>
                <w:spacing w:val="-4"/>
              </w:rPr>
              <w:t>работ</w:t>
            </w:r>
            <w:r>
              <w:rPr>
                <w:rFonts w:ascii="PT Astra Serif" w:hAnsi="PT Astra Serif" w:cs="PT Astra Serif;Times New Roman"/>
                <w:spacing w:val="-4"/>
                <w:lang w:eastAsia="ru-RU"/>
              </w:rPr>
              <w:t xml:space="preserve"> </w:t>
            </w:r>
            <w:r>
              <w:rPr>
                <w:rFonts w:ascii="PT Astra Serif" w:hAnsi="PT Astra Serif"/>
                <w:spacing w:val="-4"/>
              </w:rPr>
              <w:t>по проведению раскопок на местах боевых сражений»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28" w:lineRule="auto"/>
              <w:jc w:val="both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 xml:space="preserve">Количество оказанных услуг по доставке поисковых  отрядов на </w:t>
            </w:r>
            <w:r>
              <w:rPr>
                <w:rFonts w:ascii="PT Astra Serif;Times New Roman" w:hAnsi="PT Astra Serif;Times New Roman" w:cs="PT Astra Serif;Times New Roman"/>
                <w:color w:val="auto"/>
                <w:spacing w:val="-4"/>
                <w:sz w:val="20"/>
                <w:szCs w:val="20"/>
              </w:rPr>
              <w:t>места боевых сражений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126" w:right="-117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545,16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</w:rPr>
              <w:t>135,0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110,16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100,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100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,0</w:t>
            </w:r>
          </w:p>
        </w:tc>
      </w:tr>
      <w:tr w:rsidR="002C0BFB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2.1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lastRenderedPageBreak/>
              <w:t>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lastRenderedPageBreak/>
              <w:t xml:space="preserve">Оказание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lastRenderedPageBreak/>
              <w:t>транспортных услуг по  доставке  поисковых  отрядов  на места исторических боевых сражений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Администрац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lastRenderedPageBreak/>
              <w:t>–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Бюджетные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>ассигнования местного бюджета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126" w:right="-117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lastRenderedPageBreak/>
              <w:t>545,16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</w:rPr>
              <w:t>135,0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auto"/>
              </w:rPr>
              <w:t>110,16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100,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100,0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color w:val="00A933"/>
                <w:sz w:val="24"/>
                <w:szCs w:val="24"/>
              </w:rPr>
              <w:t>100</w:t>
            </w:r>
            <w:r>
              <w:rPr>
                <w:rFonts w:ascii="PT Astra Serif;Times New Roman" w:hAnsi="PT Astra Serif;Times New Roman" w:cs="PT Astra Serif;Times New Roman"/>
                <w:color w:val="00A933"/>
                <w:sz w:val="24"/>
                <w:szCs w:val="24"/>
              </w:rPr>
              <w:t>,0</w:t>
            </w:r>
          </w:p>
        </w:tc>
      </w:tr>
      <w:tr w:rsidR="002C0BFB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 xml:space="preserve">Основное мероприятие «Организация проведения мероприятий по захоронению  и увековечению памяти </w: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>военнослужащих, погибших при защите Отечества»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;Times New Roman" w:eastAsia="Calibri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color w:val="auto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napToGrid w:val="0"/>
              <w:spacing w:after="0" w:line="240" w:lineRule="auto"/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  <w:t xml:space="preserve">Количество 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</w:rPr>
              <w:t>мероприятий</w:t>
            </w: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  <w:t xml:space="preserve"> по  захоронению мобилизованных, погибших при защите Отечества»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 xml:space="preserve">Бюджетные ассигнования местного </w:t>
            </w:r>
            <w:r>
              <w:rPr>
                <w:rFonts w:ascii="PT Astra Serif;Times New Roman" w:hAnsi="PT Astra Serif;Times New Roman" w:cs="PT Astra Serif;Times New Roman"/>
                <w:color w:val="auto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126" w:right="-117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A933"/>
                <w:sz w:val="24"/>
                <w:szCs w:val="24"/>
              </w:rPr>
              <w:t>860,84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</w:pPr>
            <w:r>
              <w:rPr>
                <w:rFonts w:ascii="PT Astra Serif" w:eastAsia="Calibri" w:hAnsi="PT Astra Serif"/>
                <w:color w:val="auto"/>
              </w:rPr>
              <w:t>390,84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eastAsia="Calibri" w:hAnsi="PT Astra Serif"/>
                <w:color w:val="00A933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A933"/>
                <w:sz w:val="24"/>
                <w:szCs w:val="24"/>
              </w:rPr>
              <w:t>170,0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160,0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140,0</w:t>
            </w:r>
          </w:p>
        </w:tc>
      </w:tr>
      <w:tr w:rsidR="002C0BFB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pStyle w:val="a9"/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auto"/>
                <w:spacing w:val="-4"/>
                <w:sz w:val="20"/>
                <w:szCs w:val="20"/>
                <w:lang w:eastAsia="zh-CN"/>
              </w:rPr>
              <w:t>Проведение  мероприятий в рамках оказания помощи семьям военнослужащих, погибших при участии в Специальной военной операции (поминальные обеды)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126" w:right="-117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A933"/>
                <w:sz w:val="24"/>
                <w:szCs w:val="24"/>
              </w:rPr>
              <w:t>740,99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eastAsia="Calibri" w:hAnsi="PT Astra Serif"/>
                <w:color w:val="auto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auto"/>
              </w:rPr>
              <w:t>310,99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150,0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150,0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130,0</w:t>
            </w:r>
          </w:p>
        </w:tc>
      </w:tr>
      <w:tr w:rsidR="002C0BFB"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3.</w:t>
            </w:r>
            <w:r>
              <w:rPr>
                <w:rFonts w:ascii="PT Astra Serif" w:hAnsi="PT Astra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Приобретение траурной атрибутики (венки, ленты, цветы, корзины),  памятных табличек и т. п. </w:t>
            </w: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для проведения мероприятий  по захоронению и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увековечению памяти погибших  военнослужащих.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</w:pP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PT Astra Serif" w:eastAsia="Calibri" w:hAnsi="PT Astra Serif" w:cs="PT Astra Serif;Times New Roman"/>
                <w:color w:val="auto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2022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2026</w:t>
            </w:r>
          </w:p>
          <w:p w:rsidR="002C0BFB" w:rsidRDefault="00E6302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;Times New Roman"/>
                <w:color w:val="auto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0" w:lineRule="auto"/>
              <w:rPr>
                <w:rFonts w:ascii="PT Astra Serif" w:hAnsi="PT Astra Serif" w:cs="PT Astra Serif;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126" w:right="-117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A933"/>
                <w:sz w:val="24"/>
                <w:szCs w:val="24"/>
              </w:rPr>
              <w:t>119,85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auto"/>
              </w:rPr>
              <w:t>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eastAsia="Calibri" w:hAnsi="PT Astra Serif"/>
                <w:color w:val="auto"/>
                <w:sz w:val="20"/>
                <w:szCs w:val="20"/>
              </w:rPr>
            </w:pPr>
            <w:r>
              <w:rPr>
                <w:rFonts w:ascii="PT Astra Serif" w:eastAsia="Calibri" w:hAnsi="PT Astra Serif"/>
                <w:color w:val="auto"/>
              </w:rPr>
              <w:t>79,85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20,0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10,0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0" w:lineRule="auto"/>
              <w:ind w:left="-99" w:right="-143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A933"/>
                <w:sz w:val="24"/>
                <w:szCs w:val="24"/>
              </w:rPr>
              <w:t>10,0</w:t>
            </w:r>
          </w:p>
        </w:tc>
      </w:tr>
      <w:tr w:rsidR="002C0BFB">
        <w:trPr>
          <w:trHeight w:val="123"/>
        </w:trPr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  <w:p w:rsidR="002C0BFB" w:rsidRDefault="002C0BFB">
            <w:pPr>
              <w:widowControl w:val="0"/>
              <w:spacing w:after="0" w:line="247" w:lineRule="auto"/>
              <w:rPr>
                <w:rFonts w:ascii="PT Astra Serif;Times New Roman" w:hAnsi="PT Astra Serif;Times New Roman" w:cs="PT Astra Serif;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7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117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00A933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</w:rPr>
              <w:t>1 412,02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</w:rPr>
              <w:t>141,02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color w:val="auto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</w:rPr>
              <w:t>501,0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  <w:t>270,0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  <w:t>260,0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  <w:t>240,0</w:t>
            </w:r>
          </w:p>
        </w:tc>
      </w:tr>
      <w:tr w:rsidR="002C0BFB">
        <w:tc>
          <w:tcPr>
            <w:tcW w:w="8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rPr>
                <w:color w:val="auto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  <w:t>муниципальной  программе</w:t>
            </w:r>
          </w:p>
          <w:p w:rsidR="002C0BFB" w:rsidRDefault="002C0BFB">
            <w:pPr>
              <w:widowControl w:val="0"/>
              <w:spacing w:after="0" w:line="247" w:lineRule="auto"/>
              <w:rPr>
                <w:rFonts w:ascii="PT Astra Serif;Times New Roman" w:hAnsi="PT Astra Serif;Times New Roman" w:cs="PT Astra Serif;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2C0BFB">
            <w:pPr>
              <w:widowControl w:val="0"/>
              <w:snapToGrid w:val="0"/>
              <w:spacing w:after="0" w:line="247" w:lineRule="auto"/>
              <w:jc w:val="center"/>
              <w:rPr>
                <w:rFonts w:ascii="PT Astra Serif;Times New Roman" w:hAnsi="PT Astra Serif;Times New Roman" w:cs="PT Astra Serif;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00A933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</w:rPr>
              <w:t>1 992,13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</w:rPr>
              <w:t>2</w:t>
            </w: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</w:rPr>
              <w:t>17</w:t>
            </w:r>
            <w:r>
              <w:rPr>
                <w:rFonts w:ascii="PT Astra Serif;Times New Roman" w:hAnsi="PT Astra Serif;Times New Roman" w:cs="PT Astra Serif;Times New Roman"/>
                <w:b/>
                <w:color w:val="auto"/>
              </w:rPr>
              <w:t>,18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highlight w:val="yellow"/>
              </w:rPr>
            </w:pPr>
            <w:r>
              <w:rPr>
                <w:rFonts w:ascii="PT Astra Serif;Times New Roman" w:hAnsi="PT Astra Serif;Times New Roman" w:cs="PT Astra Serif;Times New Roman"/>
                <w:b/>
                <w:color w:val="auto"/>
              </w:rPr>
              <w:t>5</w:t>
            </w:r>
            <w:r>
              <w:rPr>
                <w:rFonts w:ascii="PT Astra Serif;Times New Roman" w:eastAsia="Calibri" w:hAnsi="PT Astra Serif;Times New Roman" w:cs="PT Astra Serif;Times New Roman"/>
                <w:b/>
                <w:color w:val="auto"/>
              </w:rPr>
              <w:t>72,8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  <w:t>440,35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color w:val="00A933"/>
                <w:sz w:val="24"/>
                <w:szCs w:val="24"/>
              </w:rPr>
              <w:t>388,8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FB" w:rsidRDefault="00E6302B">
            <w:pPr>
              <w:widowControl w:val="0"/>
              <w:spacing w:after="0" w:line="247" w:lineRule="auto"/>
              <w:ind w:left="-64" w:right="-64"/>
              <w:jc w:val="center"/>
              <w:rPr>
                <w:rFonts w:ascii="PT Astra Serif;Times New Roman" w:eastAsia="Calibri" w:hAnsi="PT Astra Serif;Times New Roman" w:cs="PT Astra Serif;Times New Roman"/>
                <w:b/>
                <w:bCs/>
                <w:color w:val="00A933"/>
                <w:sz w:val="24"/>
                <w:szCs w:val="24"/>
              </w:rPr>
            </w:pPr>
            <w:r>
              <w:rPr>
                <w:rFonts w:ascii="PT Astra Serif;Times New Roman" w:eastAsia="Calibri" w:hAnsi="PT Astra Serif;Times New Roman" w:cs="PT Astra Serif;Times New Roman"/>
                <w:b/>
                <w:bCs/>
                <w:color w:val="00A933"/>
                <w:sz w:val="24"/>
                <w:szCs w:val="24"/>
              </w:rPr>
              <w:t>373,0</w:t>
            </w:r>
          </w:p>
        </w:tc>
      </w:tr>
    </w:tbl>
    <w:p w:rsidR="002C0BFB" w:rsidRDefault="00E63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2C0BFB" w:rsidRDefault="002C0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C0BFB" w:rsidRDefault="002C0BF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C0BFB" w:rsidRDefault="00E6302B">
      <w:pPr>
        <w:spacing w:after="0" w:line="240" w:lineRule="auto"/>
        <w:jc w:val="both"/>
      </w:pPr>
      <w:r>
        <w:rPr>
          <w:rFonts w:ascii="PT Astra Serif" w:hAnsi="PT Astra Serif" w:cs="Times New Roman"/>
          <w:color w:val="auto"/>
          <w:sz w:val="28"/>
          <w:szCs w:val="28"/>
        </w:rPr>
        <w:tab/>
      </w:r>
    </w:p>
    <w:p w:rsidR="002C0BFB" w:rsidRDefault="002C0BFB">
      <w:pPr>
        <w:spacing w:after="0" w:line="240" w:lineRule="auto"/>
        <w:jc w:val="both"/>
        <w:rPr>
          <w:rFonts w:ascii="PT Astra Serif" w:eastAsia="Calibri" w:hAnsi="PT Astra Serif" w:cs="Times New Roman"/>
          <w:color w:val="auto"/>
          <w:sz w:val="28"/>
          <w:szCs w:val="28"/>
        </w:rPr>
      </w:pPr>
    </w:p>
    <w:p w:rsidR="002C0BFB" w:rsidRDefault="002C0BFB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2C0BFB" w:rsidRDefault="002C0BFB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eastAsia="ru-RU"/>
        </w:rPr>
      </w:pPr>
    </w:p>
    <w:p w:rsidR="002C0BFB" w:rsidRDefault="002C0BFB">
      <w:pPr>
        <w:widowControl w:val="0"/>
        <w:spacing w:after="0" w:line="240" w:lineRule="auto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</w:pPr>
    </w:p>
    <w:p w:rsidR="002C0BFB" w:rsidRDefault="002C0BFB">
      <w:pPr>
        <w:widowControl w:val="0"/>
        <w:spacing w:after="0" w:line="240" w:lineRule="auto"/>
        <w:jc w:val="center"/>
        <w:sectPr w:rsidR="002C0BFB">
          <w:footerReference w:type="even" r:id="rId9"/>
          <w:footerReference w:type="default" r:id="rId10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2C0BFB" w:rsidRDefault="00E6302B">
      <w:pPr>
        <w:widowControl w:val="0"/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lastRenderedPageBreak/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2C0BFB" w:rsidRDefault="002C0BFB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C0BFB" w:rsidRDefault="002C0BFB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C0BFB" w:rsidRDefault="002C0BFB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C0BFB" w:rsidRDefault="00E6302B">
      <w:pPr>
        <w:widowControl w:val="0"/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C0BFB" w:rsidRDefault="00E6302B">
      <w:pPr>
        <w:widowControl w:val="0"/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C0BFB" w:rsidRDefault="00E6302B">
      <w:pPr>
        <w:widowControl w:val="0"/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«Тереньгульский район»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Г.А.Шерстнев</w:t>
      </w:r>
    </w:p>
    <w:p w:rsidR="002C0BFB" w:rsidRDefault="002C0BFB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C0BFB" w:rsidRDefault="002C0BFB">
      <w:pPr>
        <w:widowControl w:val="0"/>
        <w:spacing w:after="0" w:line="240" w:lineRule="auto"/>
        <w:jc w:val="both"/>
      </w:pPr>
    </w:p>
    <w:sectPr w:rsidR="002C0BFB">
      <w:footerReference w:type="even" r:id="rId11"/>
      <w:footerReference w:type="default" r:id="rId12"/>
      <w:pgSz w:w="11906" w:h="16838"/>
      <w:pgMar w:top="1134" w:right="683" w:bottom="1678" w:left="1535" w:header="0" w:footer="112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2B" w:rsidRDefault="00E6302B">
      <w:pPr>
        <w:spacing w:after="0" w:line="240" w:lineRule="auto"/>
      </w:pPr>
      <w:r>
        <w:separator/>
      </w:r>
    </w:p>
  </w:endnote>
  <w:endnote w:type="continuationSeparator" w:id="0">
    <w:p w:rsidR="00E6302B" w:rsidRDefault="00E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B" w:rsidRDefault="002C0B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B" w:rsidRDefault="002C0BFB">
    <w:pPr>
      <w:pStyle w:val="ac"/>
      <w:rPr>
        <w:rFonts w:ascii="PT Astra Serif" w:hAnsi="PT Astra Serif"/>
        <w:sz w:val="36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B" w:rsidRDefault="00E6302B"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B" w:rsidRDefault="002C0BF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B" w:rsidRDefault="002C0BFB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FB" w:rsidRDefault="002C0BFB">
    <w:pPr>
      <w:pStyle w:val="ac"/>
      <w:rPr>
        <w:rFonts w:ascii="PT Astra Serif" w:hAnsi="PT Astra Serif"/>
        <w:sz w:val="36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2B" w:rsidRDefault="00E6302B">
      <w:pPr>
        <w:spacing w:after="0" w:line="240" w:lineRule="auto"/>
      </w:pPr>
      <w:r>
        <w:separator/>
      </w:r>
    </w:p>
  </w:footnote>
  <w:footnote w:type="continuationSeparator" w:id="0">
    <w:p w:rsidR="00E6302B" w:rsidRDefault="00E63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BFB"/>
    <w:rsid w:val="002C0BFB"/>
    <w:rsid w:val="00657366"/>
    <w:rsid w:val="00E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99"/>
    <w:pPr>
      <w:suppressAutoHyphens/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uppressAutoHyphens w:val="0"/>
      <w:spacing w:before="240"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DC2752"/>
    <w:pPr>
      <w:suppressAutoHyphens/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customStyle="1" w:styleId="aa">
    <w:name w:val="Верхний и нижний колонтитулы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ConsPlusCellTimesNewRoman">
    <w:name w:val="ConsPlusCell + Times New Roman"/>
    <w:basedOn w:val="a"/>
    <w:qFormat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Spacing1">
    <w:name w:val="No Spacing1"/>
    <w:qFormat/>
    <w:pPr>
      <w:suppressAutoHyphens/>
      <w:overflowPunct w:val="0"/>
    </w:pPr>
    <w:rPr>
      <w:rFonts w:asciiTheme="minorHAnsi" w:eastAsia="Times New Roman" w:hAnsiTheme="minorHAnsi" w:cs="Calibri"/>
      <w:color w:val="00000A"/>
      <w:kern w:val="0"/>
      <w:sz w:val="22"/>
      <w:szCs w:val="22"/>
      <w:lang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  <w:overflowPunct w:val="0"/>
    </w:pPr>
    <w:rPr>
      <w:rFonts w:ascii="Arial" w:eastAsia="Times New Roman" w:hAnsi="Arial" w:cs="Arial"/>
      <w:kern w:val="0"/>
      <w:szCs w:val="20"/>
      <w:lang w:bidi="ar-SA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Title"/>
    <w:basedOn w:val="a"/>
    <w:next w:val="a1"/>
    <w:qFormat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f0">
    <w:name w:val="header"/>
    <w:basedOn w:val="a"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Tabakov</cp:lastModifiedBy>
  <cp:revision>2</cp:revision>
  <cp:lastPrinted>2023-11-07T10:23:00Z</cp:lastPrinted>
  <dcterms:created xsi:type="dcterms:W3CDTF">2023-11-24T04:07:00Z</dcterms:created>
  <dcterms:modified xsi:type="dcterms:W3CDTF">2023-11-24T04:07:00Z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